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D24E46" w:rsidRPr="00A509EB" w:rsidRDefault="004F2E62" w:rsidP="00D24E4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11.12.2017 г. № 522-р «Об утверждении Плана работы отдела внутреннего муниципального финансового контроля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</w:t>
      </w:r>
      <w:r w:rsidR="00B10826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="00B10826">
        <w:rPr>
          <w:rFonts w:ascii="Times New Roman" w:hAnsi="Times New Roman"/>
          <w:sz w:val="28"/>
          <w:szCs w:val="28"/>
        </w:rPr>
        <w:t xml:space="preserve"> городского округа н</w:t>
      </w:r>
      <w:r w:rsidR="00B10826" w:rsidRPr="00A17FFC">
        <w:rPr>
          <w:rFonts w:ascii="Times New Roman" w:hAnsi="Times New Roman"/>
          <w:sz w:val="28"/>
          <w:szCs w:val="28"/>
        </w:rPr>
        <w:t xml:space="preserve">а 2018 год», </w:t>
      </w:r>
      <w:r w:rsidR="00D24E46">
        <w:rPr>
          <w:rFonts w:ascii="Times New Roman" w:hAnsi="Times New Roman"/>
          <w:sz w:val="28"/>
          <w:szCs w:val="28"/>
        </w:rPr>
        <w:t>н</w:t>
      </w:r>
      <w:r w:rsidR="00D24E46" w:rsidRPr="00A509EB">
        <w:rPr>
          <w:rFonts w:ascii="Times New Roman" w:hAnsi="Times New Roman"/>
          <w:sz w:val="28"/>
          <w:szCs w:val="28"/>
        </w:rPr>
        <w:t xml:space="preserve">а основании распоряжения администрации </w:t>
      </w:r>
      <w:proofErr w:type="spellStart"/>
      <w:r w:rsidR="00D24E46" w:rsidRPr="00A509E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D24E46" w:rsidRPr="00A509EB">
        <w:rPr>
          <w:rFonts w:ascii="Times New Roman" w:hAnsi="Times New Roman"/>
          <w:sz w:val="28"/>
          <w:szCs w:val="28"/>
        </w:rPr>
        <w:t xml:space="preserve"> городского округа от 17.09.2018 года № 408-р «О проведении контрольного мероприятия в Муниципальном учреждении культуры </w:t>
      </w:r>
      <w:proofErr w:type="spellStart"/>
      <w:r w:rsidR="00D24E46" w:rsidRPr="00A509E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D24E46" w:rsidRPr="00A509EB">
        <w:rPr>
          <w:rFonts w:ascii="Times New Roman" w:hAnsi="Times New Roman"/>
          <w:sz w:val="28"/>
          <w:szCs w:val="28"/>
        </w:rPr>
        <w:t xml:space="preserve"> городского округа «Центр досуга им. Горького»»</w:t>
      </w:r>
      <w:proofErr w:type="gramEnd"/>
    </w:p>
    <w:p w:rsidR="00B10826" w:rsidRPr="00A17FFC" w:rsidRDefault="00B10826" w:rsidP="00B1082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24E46" w:rsidRDefault="00B242F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D24E46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D24E46" w:rsidRPr="00A509EB">
        <w:rPr>
          <w:rFonts w:ascii="Times New Roman" w:hAnsi="Times New Roman"/>
          <w:sz w:val="28"/>
          <w:szCs w:val="28"/>
        </w:rPr>
        <w:t>проверка финансово – хозяйственной деятельности</w:t>
      </w:r>
      <w:r w:rsidR="00D24E46">
        <w:rPr>
          <w:rFonts w:ascii="Times New Roman" w:hAnsi="Times New Roman"/>
          <w:sz w:val="28"/>
          <w:szCs w:val="28"/>
        </w:rPr>
        <w:t>.</w:t>
      </w:r>
    </w:p>
    <w:p w:rsidR="00D24E46" w:rsidRPr="00D24E46" w:rsidRDefault="00D24E46" w:rsidP="00D24E4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24E46">
        <w:rPr>
          <w:rFonts w:ascii="Times New Roman" w:hAnsi="Times New Roman"/>
          <w:sz w:val="28"/>
          <w:szCs w:val="28"/>
        </w:rPr>
        <w:t xml:space="preserve">       Цель контрольного мероприятия:</w:t>
      </w:r>
    </w:p>
    <w:p w:rsidR="00D24E46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9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Правильность составления и утверждения плана финансово – хозяйственной деятельности.</w:t>
      </w:r>
    </w:p>
    <w:p w:rsidR="00D24E46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Своевременность и достоверность предоставления отчетности об исполнении муниципального задания.</w:t>
      </w:r>
    </w:p>
    <w:p w:rsidR="00D24E46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Эффективность использования субсидии  на выполнения муниципального задания.</w:t>
      </w:r>
    </w:p>
    <w:p w:rsidR="00D24E46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Эффективность использования муниципального имущества.</w:t>
      </w:r>
    </w:p>
    <w:p w:rsidR="00D24E46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Проверка правильности поступления и использования средств, полученных от приносящей доход деятельности.</w:t>
      </w:r>
    </w:p>
    <w:p w:rsidR="00D24E46" w:rsidRPr="00A509EB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Своевременность и достоверность размещения информации (сведений) об Учреждении на официальном сайте  в сети Интернет </w:t>
      </w:r>
      <w:proofErr w:type="spellStart"/>
      <w:r w:rsidRPr="00D776DB">
        <w:rPr>
          <w:rFonts w:ascii="Times New Roman" w:hAnsi="Times New Roman"/>
          <w:iCs/>
          <w:sz w:val="28"/>
          <w:szCs w:val="28"/>
        </w:rPr>
        <w:t>www.bus.gov.ru</w:t>
      </w:r>
      <w:proofErr w:type="spellEnd"/>
      <w:r w:rsidRPr="00D776DB">
        <w:rPr>
          <w:rFonts w:ascii="Times New Roman" w:hAnsi="Times New Roman"/>
          <w:iCs/>
          <w:sz w:val="28"/>
          <w:szCs w:val="28"/>
        </w:rPr>
        <w:t>.</w:t>
      </w:r>
    </w:p>
    <w:p w:rsidR="004D1CF2" w:rsidRPr="004D1CF2" w:rsidRDefault="004D1CF2" w:rsidP="00B10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24E4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E46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D24E4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D24E46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15CE2">
        <w:rPr>
          <w:rFonts w:ascii="Times New Roman" w:hAnsi="Times New Roman"/>
          <w:sz w:val="28"/>
          <w:szCs w:val="28"/>
        </w:rPr>
        <w:t xml:space="preserve">лан финансово – хозяйственной деятельности </w:t>
      </w:r>
      <w:r>
        <w:rPr>
          <w:rFonts w:ascii="Times New Roman" w:hAnsi="Times New Roman"/>
          <w:sz w:val="28"/>
          <w:szCs w:val="28"/>
        </w:rPr>
        <w:t>на 2018 год</w:t>
      </w:r>
      <w:r w:rsidRPr="00B15CE2">
        <w:rPr>
          <w:rFonts w:ascii="Times New Roman" w:hAnsi="Times New Roman"/>
          <w:sz w:val="28"/>
          <w:szCs w:val="28"/>
        </w:rPr>
        <w:t xml:space="preserve"> составлен </w:t>
      </w:r>
      <w:r>
        <w:rPr>
          <w:rFonts w:ascii="Times New Roman" w:hAnsi="Times New Roman"/>
          <w:sz w:val="28"/>
          <w:szCs w:val="28"/>
        </w:rPr>
        <w:t>не в соответствии с пунктом 7</w:t>
      </w:r>
      <w:r w:rsidRPr="005F3B78">
        <w:rPr>
          <w:rFonts w:ascii="Times New Roman" w:hAnsi="Times New Roman"/>
          <w:sz w:val="28"/>
          <w:szCs w:val="28"/>
        </w:rPr>
        <w:t xml:space="preserve"> </w:t>
      </w:r>
      <w:r w:rsidRPr="00B15CE2">
        <w:rPr>
          <w:rFonts w:ascii="Times New Roman" w:hAnsi="Times New Roman"/>
          <w:sz w:val="28"/>
          <w:szCs w:val="28"/>
        </w:rPr>
        <w:t xml:space="preserve">Порядка составления и утверждения плана финансово – хозяйственной деятельности муниципальных бюджетных и муниципальных автономных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 утвержденного </w:t>
      </w:r>
      <w:r w:rsidRPr="00B15CE2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15CE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15CE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5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 от 29.12.2016 </w:t>
      </w:r>
      <w:r w:rsidRPr="00B15CE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1077.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пункта 213 Инструкции № 157н</w:t>
      </w:r>
      <w:r w:rsidRPr="00DE3C22">
        <w:rPr>
          <w:rFonts w:ascii="Times New Roman" w:hAnsi="Times New Roman"/>
          <w:sz w:val="28"/>
          <w:szCs w:val="28"/>
        </w:rPr>
        <w:t xml:space="preserve"> и  пункт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E3C22">
        <w:rPr>
          <w:rFonts w:ascii="Times New Roman" w:hAnsi="Times New Roman"/>
          <w:sz w:val="28"/>
          <w:szCs w:val="28"/>
        </w:rPr>
        <w:t xml:space="preserve"> 2.4 Положения о выдаче под отчет денежных средств, составлении и предоставлении отчетов подотчетными лицами </w:t>
      </w:r>
      <w:r>
        <w:rPr>
          <w:rFonts w:ascii="Times New Roman" w:hAnsi="Times New Roman"/>
          <w:sz w:val="28"/>
          <w:szCs w:val="28"/>
        </w:rPr>
        <w:t>в</w:t>
      </w:r>
      <w:r w:rsidRPr="00DE3C22">
        <w:rPr>
          <w:rFonts w:ascii="Times New Roman" w:hAnsi="Times New Roman"/>
          <w:b/>
          <w:sz w:val="28"/>
          <w:szCs w:val="28"/>
        </w:rPr>
        <w:t xml:space="preserve">  </w:t>
      </w:r>
      <w:r w:rsidRPr="00350FFA">
        <w:rPr>
          <w:rFonts w:ascii="Times New Roman" w:hAnsi="Times New Roman"/>
          <w:sz w:val="28"/>
          <w:szCs w:val="28"/>
        </w:rPr>
        <w:t>письменных заявлениях подотчетных лиц не указан срок, на который выдан аванс</w:t>
      </w:r>
      <w:r>
        <w:rPr>
          <w:rFonts w:ascii="Times New Roman" w:hAnsi="Times New Roman"/>
          <w:sz w:val="28"/>
          <w:szCs w:val="28"/>
        </w:rPr>
        <w:t>, возмещены расходы без заявления подотчетных лиц.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 на возмещение подотчетных денежных средств оформлены в несоответствии с приложением № 1 к Положению о выдаче под отчет денежных средств, составлении и предоставлении отчетов подотчетными лицами.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 части 2 статьи 287 ТК РФ не начислялись выплаты стимулирующего  характера работникам по внутреннему совместительству.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65AD">
        <w:rPr>
          <w:rFonts w:ascii="Times New Roman" w:hAnsi="Times New Roman"/>
          <w:sz w:val="28"/>
          <w:szCs w:val="28"/>
        </w:rPr>
        <w:t>В нарушение части 2 статьи 135 ТК РФ порядок и условия установления размеров стимулирующих надбавок Положением о</w:t>
      </w:r>
      <w:r>
        <w:rPr>
          <w:rFonts w:ascii="Times New Roman" w:hAnsi="Times New Roman"/>
          <w:sz w:val="28"/>
          <w:szCs w:val="28"/>
        </w:rPr>
        <w:t>б</w:t>
      </w:r>
      <w:r w:rsidRPr="005B65AD">
        <w:rPr>
          <w:rFonts w:ascii="Times New Roman" w:hAnsi="Times New Roman"/>
          <w:sz w:val="28"/>
          <w:szCs w:val="28"/>
        </w:rPr>
        <w:t xml:space="preserve"> оплате труда и другими локальными актами </w:t>
      </w:r>
      <w:r w:rsidRPr="005B65AD">
        <w:rPr>
          <w:rFonts w:ascii="Times New Roman" w:hAnsi="Times New Roman"/>
          <w:sz w:val="28"/>
          <w:szCs w:val="28"/>
        </w:rPr>
        <w:lastRenderedPageBreak/>
        <w:t xml:space="preserve">учреждения не установлены, что привело к  необоснованным  выплатам за январь – август 2018 года на сумму 1 761 477,02 руб., начисления на оплату труда 531 966,06 руб. </w:t>
      </w:r>
    </w:p>
    <w:p w:rsidR="00D24E46" w:rsidRPr="0030443B" w:rsidRDefault="00D24E46" w:rsidP="00D24E46">
      <w:pPr>
        <w:pStyle w:val="a5"/>
        <w:numPr>
          <w:ilvl w:val="0"/>
          <w:numId w:val="9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43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проверке</w:t>
      </w:r>
      <w:r w:rsidRPr="0030443B">
        <w:rPr>
          <w:rFonts w:ascii="Times New Roman" w:hAnsi="Times New Roman"/>
          <w:sz w:val="28"/>
          <w:szCs w:val="28"/>
        </w:rPr>
        <w:t xml:space="preserve"> Приложений профессиональных квалификационных групп к  Положению об оплате труда работников МУК ЧГО «Центр досуга им. Горького», разработанных на основании Положения об оплате труда работников муниципальных учреждений, подведомственных Управлению культуры администрации </w:t>
      </w:r>
      <w:proofErr w:type="spellStart"/>
      <w:r w:rsidRPr="0030443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0443B">
        <w:rPr>
          <w:rFonts w:ascii="Times New Roman" w:hAnsi="Times New Roman"/>
          <w:sz w:val="28"/>
          <w:szCs w:val="28"/>
        </w:rPr>
        <w:t xml:space="preserve"> городского округа установлено несоответствие  наименования должностей, что привело к необоснованным выплатам за проверяемый период на сумму 824639,94 руб.</w:t>
      </w:r>
      <w:proofErr w:type="gramEnd"/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Доплата до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производилась в </w:t>
      </w:r>
      <w:r w:rsidRPr="00B42E25">
        <w:rPr>
          <w:rFonts w:ascii="Times New Roman" w:hAnsi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/>
          <w:sz w:val="28"/>
          <w:szCs w:val="28"/>
        </w:rPr>
        <w:t xml:space="preserve"> со </w:t>
      </w:r>
      <w:r w:rsidRPr="00B42E2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ями</w:t>
      </w:r>
      <w:r w:rsidRPr="00B42E25">
        <w:rPr>
          <w:rFonts w:ascii="Times New Roman" w:hAnsi="Times New Roman"/>
          <w:sz w:val="28"/>
          <w:szCs w:val="28"/>
        </w:rPr>
        <w:t xml:space="preserve"> 129 и 133 ТК РФ</w:t>
      </w:r>
      <w:r>
        <w:rPr>
          <w:rFonts w:ascii="Times New Roman" w:hAnsi="Times New Roman"/>
          <w:sz w:val="28"/>
          <w:szCs w:val="28"/>
        </w:rPr>
        <w:t>, что</w:t>
      </w:r>
      <w:r w:rsidRPr="00B42E25">
        <w:rPr>
          <w:rFonts w:ascii="Times New Roman" w:hAnsi="Times New Roman"/>
          <w:sz w:val="28"/>
          <w:szCs w:val="28"/>
        </w:rPr>
        <w:t xml:space="preserve"> привело к необоснованным выплатам на с</w:t>
      </w:r>
      <w:r>
        <w:rPr>
          <w:rFonts w:ascii="Times New Roman" w:hAnsi="Times New Roman"/>
          <w:sz w:val="28"/>
          <w:szCs w:val="28"/>
        </w:rPr>
        <w:t>умму 44861,60 руб.,</w:t>
      </w:r>
      <w:r w:rsidRPr="00B42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42E25">
        <w:rPr>
          <w:rFonts w:ascii="Times New Roman" w:hAnsi="Times New Roman"/>
          <w:sz w:val="28"/>
          <w:szCs w:val="28"/>
        </w:rPr>
        <w:t xml:space="preserve">ачисления на оплату труда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42E25">
        <w:rPr>
          <w:rFonts w:ascii="Times New Roman" w:hAnsi="Times New Roman"/>
          <w:sz w:val="28"/>
          <w:szCs w:val="28"/>
        </w:rPr>
        <w:t>13 548,20 руб</w:t>
      </w:r>
      <w:r>
        <w:rPr>
          <w:rFonts w:ascii="Times New Roman" w:hAnsi="Times New Roman"/>
          <w:sz w:val="28"/>
          <w:szCs w:val="28"/>
        </w:rPr>
        <w:t>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3DB0">
        <w:rPr>
          <w:rFonts w:ascii="Times New Roman" w:hAnsi="Times New Roman"/>
          <w:sz w:val="28"/>
          <w:szCs w:val="28"/>
        </w:rPr>
        <w:t xml:space="preserve">В нарушение статьи 315 ТК РФ не начислялся районный коэффициент в размере 15%. 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3978">
        <w:rPr>
          <w:rFonts w:ascii="Times New Roman" w:hAnsi="Times New Roman"/>
          <w:sz w:val="28"/>
          <w:szCs w:val="28"/>
        </w:rPr>
        <w:t>В нарушение статьи 103 ТК РФ отсутствуют графики сменности</w:t>
      </w:r>
      <w:r>
        <w:rPr>
          <w:rFonts w:ascii="Times New Roman" w:hAnsi="Times New Roman"/>
          <w:sz w:val="28"/>
          <w:szCs w:val="28"/>
        </w:rPr>
        <w:t>.</w:t>
      </w:r>
      <w:r w:rsidRPr="00863978">
        <w:rPr>
          <w:rFonts w:ascii="Times New Roman" w:hAnsi="Times New Roman"/>
          <w:sz w:val="28"/>
          <w:szCs w:val="28"/>
        </w:rPr>
        <w:t xml:space="preserve">  </w:t>
      </w:r>
    </w:p>
    <w:p w:rsidR="00D24E46" w:rsidRPr="00513F03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3F03">
        <w:rPr>
          <w:rFonts w:ascii="Times New Roman" w:hAnsi="Times New Roman"/>
          <w:sz w:val="28"/>
          <w:szCs w:val="28"/>
        </w:rPr>
        <w:t>В нарушение части 2 статьи 112 ТК РФ табель</w:t>
      </w:r>
      <w:r>
        <w:rPr>
          <w:rFonts w:ascii="Times New Roman" w:hAnsi="Times New Roman"/>
          <w:sz w:val="28"/>
          <w:szCs w:val="28"/>
        </w:rPr>
        <w:t xml:space="preserve"> учета рабочего времени (ф.0504</w:t>
      </w:r>
      <w:r w:rsidRPr="00513F03">
        <w:rPr>
          <w:rFonts w:ascii="Times New Roman" w:hAnsi="Times New Roman"/>
          <w:sz w:val="28"/>
          <w:szCs w:val="28"/>
        </w:rPr>
        <w:t>421) ведется в несоответствии с приказами о предоставлении отпуска работнику.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CB3">
        <w:rPr>
          <w:rFonts w:ascii="Times New Roman" w:hAnsi="Times New Roman"/>
          <w:sz w:val="28"/>
          <w:szCs w:val="28"/>
        </w:rPr>
        <w:t>Начисление заработной платы производится в несоответствии с  табелем</w:t>
      </w:r>
      <w:r>
        <w:rPr>
          <w:rFonts w:ascii="Times New Roman" w:hAnsi="Times New Roman"/>
          <w:sz w:val="28"/>
          <w:szCs w:val="28"/>
        </w:rPr>
        <w:t xml:space="preserve"> учета рабочего времени (ф.0504</w:t>
      </w:r>
      <w:r w:rsidRPr="00E62CB3">
        <w:rPr>
          <w:rFonts w:ascii="Times New Roman" w:hAnsi="Times New Roman"/>
          <w:sz w:val="28"/>
          <w:szCs w:val="28"/>
        </w:rPr>
        <w:t>421).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836">
        <w:rPr>
          <w:rFonts w:ascii="Times New Roman" w:hAnsi="Times New Roman"/>
          <w:sz w:val="28"/>
          <w:szCs w:val="28"/>
        </w:rPr>
        <w:t xml:space="preserve">В нарушение  Постановления Минтруда России от 31.12.2002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 с материально - ответственным лицом (заместителем директора по административно-хозяйственной деятельности) договор  о полной индивидуальной материальной ответственности  не заключен. </w:t>
      </w:r>
      <w:proofErr w:type="gramEnd"/>
    </w:p>
    <w:p w:rsidR="00D24E46" w:rsidRPr="00052A0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836">
        <w:rPr>
          <w:rFonts w:ascii="Times New Roman" w:hAnsi="Times New Roman"/>
          <w:bCs/>
          <w:sz w:val="28"/>
          <w:szCs w:val="28"/>
        </w:rPr>
        <w:t>В нарушение пункта 34 Инструкции № 157 по Учреждению не утвержден приказ о создание постоянной комиссии по списанию основных средств и материальных запасов.</w:t>
      </w:r>
    </w:p>
    <w:p w:rsidR="00D24E46" w:rsidRPr="006560D1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2A06">
        <w:rPr>
          <w:rFonts w:ascii="Times New Roman" w:hAnsi="Times New Roman"/>
          <w:bCs/>
          <w:sz w:val="28"/>
          <w:szCs w:val="28"/>
        </w:rPr>
        <w:t xml:space="preserve">В нарушение пункта 1.45 </w:t>
      </w:r>
      <w:r w:rsidRPr="00052A06">
        <w:rPr>
          <w:rFonts w:ascii="Times New Roman" w:hAnsi="Times New Roman"/>
          <w:sz w:val="28"/>
          <w:szCs w:val="28"/>
        </w:rPr>
        <w:t xml:space="preserve">раздела 1 «Учет основных средств» части </w:t>
      </w:r>
      <w:r w:rsidRPr="00052A06">
        <w:rPr>
          <w:rFonts w:ascii="Times New Roman" w:hAnsi="Times New Roman"/>
          <w:sz w:val="28"/>
          <w:szCs w:val="28"/>
          <w:lang w:val="en-US"/>
        </w:rPr>
        <w:t>II</w:t>
      </w:r>
      <w:r w:rsidRPr="00052A06">
        <w:rPr>
          <w:rFonts w:ascii="Times New Roman" w:hAnsi="Times New Roman"/>
          <w:sz w:val="28"/>
          <w:szCs w:val="28"/>
        </w:rPr>
        <w:t xml:space="preserve"> «Методическая часть» Учетной политики в инвентарной карточке учета нефинансовых активов (ф.0504031)  не отражаются сведения о наличии пожарной, охранной сигнализации и других аналогичн</w:t>
      </w:r>
      <w:r>
        <w:rPr>
          <w:rFonts w:ascii="Times New Roman" w:hAnsi="Times New Roman"/>
          <w:sz w:val="28"/>
          <w:szCs w:val="28"/>
        </w:rPr>
        <w:t>ых систем, связанных со зданием.</w:t>
      </w:r>
    </w:p>
    <w:p w:rsidR="00D24E46" w:rsidRPr="0087390C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7A0">
        <w:rPr>
          <w:rFonts w:ascii="Times New Roman" w:hAnsi="Times New Roman"/>
          <w:sz w:val="28"/>
          <w:szCs w:val="28"/>
        </w:rPr>
        <w:t xml:space="preserve">При анализе путевых листов за январь – август 2018 года на основании маршрута движения установлено </w:t>
      </w:r>
      <w:r w:rsidRPr="0087390C">
        <w:rPr>
          <w:rFonts w:ascii="Times New Roman" w:hAnsi="Times New Roman"/>
          <w:sz w:val="28"/>
          <w:szCs w:val="28"/>
        </w:rPr>
        <w:t>неправомерное применение поправочных коэффициентов, что привело к завышению расхода топлива на 54,85 л.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обоснованно списано ГСМ на общую сумму 919,50 руб.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Необоснованно произведена оплата ГСМ на общую сумму 921,50 руб.</w:t>
      </w:r>
      <w:r w:rsidRPr="006560D1">
        <w:rPr>
          <w:rFonts w:ascii="Times New Roman" w:hAnsi="Times New Roman"/>
          <w:sz w:val="28"/>
          <w:szCs w:val="28"/>
        </w:rPr>
        <w:t xml:space="preserve"> </w:t>
      </w:r>
    </w:p>
    <w:p w:rsidR="00D24E46" w:rsidRPr="00D10343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60D1">
        <w:rPr>
          <w:rFonts w:ascii="Times New Roman" w:hAnsi="Times New Roman"/>
          <w:sz w:val="28"/>
          <w:szCs w:val="28"/>
        </w:rPr>
        <w:t xml:space="preserve"> </w:t>
      </w:r>
      <w:r w:rsidRPr="00D10343">
        <w:rPr>
          <w:rFonts w:ascii="Times New Roman" w:hAnsi="Times New Roman"/>
          <w:sz w:val="28"/>
          <w:szCs w:val="28"/>
        </w:rPr>
        <w:t>В нарушение части 8 статьи 10 Федерального закона от 06.12.2011 г. № 402-ФЗ «О бухгалтерском учете» при исправлении в путевых листах отсутствует дата</w:t>
      </w:r>
      <w:r>
        <w:rPr>
          <w:rFonts w:ascii="Times New Roman" w:hAnsi="Times New Roman"/>
          <w:sz w:val="28"/>
          <w:szCs w:val="28"/>
        </w:rPr>
        <w:t xml:space="preserve"> исправления, </w:t>
      </w:r>
      <w:r w:rsidRPr="00D10343">
        <w:rPr>
          <w:rFonts w:ascii="Times New Roman" w:hAnsi="Times New Roman"/>
          <w:sz w:val="28"/>
          <w:szCs w:val="28"/>
        </w:rPr>
        <w:t>подписи лиц, ответственных за ведение данного регистра, с указанием их фамилий и инициалов либо иных реквизитов, необходимых для идентификации этих лиц.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пункта 1 статьи 781 ГК РФ  в договоре на оказание услуг не указан срок оплаты.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5B6">
        <w:rPr>
          <w:rFonts w:ascii="Times New Roman" w:hAnsi="Times New Roman"/>
          <w:sz w:val="28"/>
          <w:szCs w:val="28"/>
        </w:rPr>
        <w:lastRenderedPageBreak/>
        <w:t xml:space="preserve">При проверке правильности формирования  Положения о порядке и условиях предоставления платных услуг на основании </w:t>
      </w:r>
      <w:r>
        <w:rPr>
          <w:rFonts w:ascii="Times New Roman" w:hAnsi="Times New Roman"/>
          <w:sz w:val="28"/>
          <w:szCs w:val="28"/>
        </w:rPr>
        <w:t xml:space="preserve">Порядка образования и использования муниципальными учреждениями культуры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средств от оказания платных услуг, безвозмездных поступлений и иной, приносящей доход деятельности, утвержденного  п</w:t>
      </w:r>
      <w:r w:rsidRPr="005D65B6">
        <w:rPr>
          <w:rFonts w:ascii="Times New Roman" w:hAnsi="Times New Roman"/>
          <w:sz w:val="28"/>
          <w:szCs w:val="28"/>
        </w:rPr>
        <w:t>остановления</w:t>
      </w:r>
      <w:r w:rsidRPr="005B1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20.03.2017 г. № 148</w:t>
      </w:r>
      <w:r w:rsidRPr="005D6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3A0">
        <w:rPr>
          <w:rFonts w:ascii="Times New Roman" w:hAnsi="Times New Roman"/>
          <w:sz w:val="28"/>
          <w:szCs w:val="28"/>
        </w:rPr>
        <w:t>установлено расхождение по прейскуранту цен.</w:t>
      </w:r>
      <w:proofErr w:type="gramEnd"/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13A0">
        <w:rPr>
          <w:rFonts w:ascii="Times New Roman" w:hAnsi="Times New Roman"/>
          <w:sz w:val="28"/>
          <w:szCs w:val="28"/>
        </w:rPr>
        <w:t>Билетный кассир оформляет Реестр сдачи документов формы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3A0">
        <w:rPr>
          <w:rFonts w:ascii="Times New Roman" w:hAnsi="Times New Roman"/>
          <w:sz w:val="28"/>
          <w:szCs w:val="28"/>
        </w:rPr>
        <w:t>442, который утратил силу с 01.10.2015 года.</w:t>
      </w:r>
    </w:p>
    <w:p w:rsidR="00D24E46" w:rsidRPr="005B13A0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13A0">
        <w:rPr>
          <w:rFonts w:ascii="Times New Roman" w:hAnsi="Times New Roman"/>
          <w:sz w:val="28"/>
          <w:szCs w:val="28"/>
        </w:rPr>
        <w:t xml:space="preserve"> В актах об оказании услуг указаны единицы измерения несоответствующие единицам измерения </w:t>
      </w:r>
      <w:r>
        <w:rPr>
          <w:rFonts w:ascii="Times New Roman" w:hAnsi="Times New Roman"/>
          <w:sz w:val="28"/>
          <w:szCs w:val="28"/>
        </w:rPr>
        <w:t>указанных в договорах об оказании услуг, также не указано количество билетов, цена билетов.</w:t>
      </w:r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корешке </w:t>
      </w:r>
      <w:r w:rsidRPr="005B13A0">
        <w:rPr>
          <w:rFonts w:ascii="Times New Roman" w:hAnsi="Times New Roman"/>
          <w:sz w:val="28"/>
          <w:szCs w:val="28"/>
        </w:rPr>
        <w:t>билета не указано название мероприятия, взрослый или детский</w:t>
      </w:r>
      <w:r>
        <w:rPr>
          <w:rFonts w:ascii="Times New Roman" w:hAnsi="Times New Roman"/>
          <w:sz w:val="28"/>
          <w:szCs w:val="28"/>
        </w:rPr>
        <w:t>.</w:t>
      </w:r>
    </w:p>
    <w:p w:rsidR="00D24E46" w:rsidRPr="00AB0B0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94F">
        <w:rPr>
          <w:rFonts w:ascii="Times New Roman" w:hAnsi="Times New Roman"/>
          <w:sz w:val="28"/>
          <w:szCs w:val="28"/>
        </w:rPr>
        <w:t xml:space="preserve">В нарушение пункта 16 постановления Правительства РФ от 24.12.2007 г. № 922 </w:t>
      </w:r>
      <w:r>
        <w:rPr>
          <w:rFonts w:ascii="Times New Roman" w:hAnsi="Times New Roman"/>
          <w:sz w:val="28"/>
          <w:szCs w:val="28"/>
        </w:rPr>
        <w:t>«</w:t>
      </w:r>
      <w:r w:rsidRPr="0055494F">
        <w:rPr>
          <w:rFonts w:ascii="Times New Roman" w:hAnsi="Times New Roman"/>
          <w:sz w:val="28"/>
          <w:szCs w:val="28"/>
        </w:rPr>
        <w:t>Об особенностях порядка исчисления средней заработной платы» при расчете среднего заработка за проверяемый период не применялся повышающий коэффициент, в связи с повышением окладов (должностных окладов).</w:t>
      </w:r>
    </w:p>
    <w:p w:rsidR="00D24E46" w:rsidRPr="00513F03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13F03">
        <w:rPr>
          <w:rFonts w:ascii="Times New Roman" w:hAnsi="Times New Roman"/>
          <w:sz w:val="28"/>
          <w:szCs w:val="28"/>
        </w:rPr>
        <w:t xml:space="preserve">В нарушение части 2 статьи 119 ТК РФ для отдельных работников установлен ненормированный рабочий день с последующим предоставлением ежегодного дополнительного оплачиваемого отпуска, что привело к неправомерному расходованию бюджетных средств на сумму 77089,56  руб. </w:t>
      </w:r>
    </w:p>
    <w:p w:rsidR="00D24E46" w:rsidRPr="0055494F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F03">
        <w:rPr>
          <w:rFonts w:ascii="Times New Roman" w:eastAsiaTheme="minorHAnsi" w:hAnsi="Times New Roman"/>
          <w:sz w:val="28"/>
          <w:szCs w:val="28"/>
        </w:rPr>
        <w:t xml:space="preserve">В нарушение пункта 3.3 статьи 32 Федерального закона от 12.01.1996 г.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13F03">
        <w:rPr>
          <w:rFonts w:ascii="Times New Roman" w:eastAsiaTheme="minorHAnsi" w:hAnsi="Times New Roman"/>
          <w:sz w:val="28"/>
          <w:szCs w:val="28"/>
        </w:rPr>
        <w:t xml:space="preserve">№ 7-ФЗ </w:t>
      </w:r>
      <w:r w:rsidRPr="00513F03">
        <w:rPr>
          <w:rFonts w:ascii="Times New Roman" w:hAnsi="Times New Roman"/>
          <w:sz w:val="28"/>
          <w:szCs w:val="28"/>
        </w:rPr>
        <w:t>«О некоммерческих организациях» и  пункт 6</w:t>
      </w:r>
      <w:r w:rsidRPr="00513F03">
        <w:rPr>
          <w:rFonts w:ascii="Times New Roman" w:eastAsiaTheme="minorHAnsi" w:hAnsi="Times New Roman"/>
          <w:sz w:val="28"/>
          <w:szCs w:val="28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  информация по Учреждению</w:t>
      </w:r>
      <w:r w:rsidRPr="00513F03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513F03">
        <w:rPr>
          <w:rFonts w:ascii="Times New Roman" w:hAnsi="Times New Roman"/>
          <w:iCs/>
          <w:sz w:val="28"/>
          <w:szCs w:val="28"/>
        </w:rPr>
        <w:t xml:space="preserve">не размещена в полном объеме на </w:t>
      </w:r>
      <w:r w:rsidRPr="00513F03">
        <w:rPr>
          <w:rFonts w:ascii="Times New Roman" w:hAnsi="Times New Roman"/>
          <w:sz w:val="28"/>
          <w:szCs w:val="28"/>
        </w:rPr>
        <w:t xml:space="preserve"> официальном сайт</w:t>
      </w:r>
      <w:r w:rsidRPr="00D24E46">
        <w:rPr>
          <w:rFonts w:ascii="Times New Roman" w:hAnsi="Times New Roman"/>
          <w:iCs/>
          <w:sz w:val="28"/>
          <w:szCs w:val="28"/>
        </w:rPr>
        <w:t>е</w:t>
      </w:r>
      <w:r w:rsidRPr="0055494F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5" w:history="1">
        <w:r w:rsidRPr="00D24E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</w:rPr>
          <w:t>www.bus.gov.ru</w:t>
        </w:r>
      </w:hyperlink>
      <w:r w:rsidRPr="00D24E46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D24E4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A84">
        <w:rPr>
          <w:rFonts w:ascii="Times New Roman" w:hAnsi="Times New Roman"/>
          <w:sz w:val="28"/>
          <w:szCs w:val="28"/>
        </w:rPr>
        <w:t xml:space="preserve">В нарушение </w:t>
      </w:r>
      <w:hyperlink r:id="rId6" w:history="1">
        <w:r w:rsidRPr="000D2A84">
          <w:rPr>
            <w:rFonts w:ascii="Times New Roman" w:hAnsi="Times New Roman"/>
            <w:sz w:val="28"/>
            <w:szCs w:val="28"/>
          </w:rPr>
          <w:t>пункта 7</w:t>
        </w:r>
      </w:hyperlink>
      <w:r w:rsidRPr="000D2A84">
        <w:rPr>
          <w:rFonts w:ascii="Times New Roman" w:hAnsi="Times New Roman"/>
          <w:sz w:val="28"/>
          <w:szCs w:val="28"/>
        </w:rPr>
        <w:t xml:space="preserve"> </w:t>
      </w:r>
      <w:r w:rsidRPr="000D2A84">
        <w:rPr>
          <w:rFonts w:ascii="Times New Roman" w:eastAsiaTheme="minorHAnsi" w:hAnsi="Times New Roman"/>
          <w:sz w:val="28"/>
          <w:szCs w:val="28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</w:t>
      </w:r>
      <w:r w:rsidRPr="000D2A84">
        <w:rPr>
          <w:rFonts w:ascii="Times New Roman" w:hAnsi="Times New Roman"/>
          <w:sz w:val="28"/>
          <w:szCs w:val="28"/>
        </w:rPr>
        <w:t xml:space="preserve">  и пункта 1.5 Порядка  формирования  муниципального задания </w:t>
      </w:r>
      <w:r w:rsidRPr="00DA4EAC">
        <w:rPr>
          <w:rFonts w:ascii="Times New Roman" w:hAnsi="Times New Roman"/>
          <w:sz w:val="28"/>
          <w:szCs w:val="28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Pr="00DA4EAC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DA4EA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DA4EAC">
        <w:rPr>
          <w:rFonts w:ascii="Times New Roman" w:hAnsi="Times New Roman"/>
          <w:sz w:val="28"/>
          <w:szCs w:val="28"/>
        </w:rPr>
        <w:t xml:space="preserve"> городского округа от 09.07.2018 г</w:t>
      </w:r>
      <w:proofErr w:type="gramEnd"/>
      <w:r w:rsidRPr="00DA4EAC">
        <w:rPr>
          <w:rFonts w:ascii="Times New Roman" w:hAnsi="Times New Roman"/>
          <w:sz w:val="28"/>
          <w:szCs w:val="28"/>
        </w:rPr>
        <w:t>. № 424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A84">
        <w:rPr>
          <w:rFonts w:ascii="Times New Roman" w:hAnsi="Times New Roman"/>
          <w:sz w:val="28"/>
          <w:szCs w:val="28"/>
        </w:rPr>
        <w:t xml:space="preserve">не представлены сведения на официальном сайте </w:t>
      </w:r>
      <w:r w:rsidRPr="000D2A8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D2A84">
        <w:rPr>
          <w:rFonts w:ascii="Times New Roman" w:hAnsi="Times New Roman"/>
          <w:iCs/>
          <w:sz w:val="28"/>
          <w:szCs w:val="28"/>
        </w:rPr>
        <w:t>www.bus.gov.ru</w:t>
      </w:r>
      <w:proofErr w:type="spellEnd"/>
      <w:r w:rsidRPr="000D2A84">
        <w:rPr>
          <w:rFonts w:ascii="Times New Roman" w:hAnsi="Times New Roman"/>
          <w:sz w:val="28"/>
          <w:szCs w:val="28"/>
        </w:rPr>
        <w:t xml:space="preserve">   по отчету об исполнении муниципального задания за  </w:t>
      </w:r>
      <w:r w:rsidRPr="000D2A84">
        <w:rPr>
          <w:rFonts w:ascii="Times New Roman" w:hAnsi="Times New Roman"/>
          <w:sz w:val="28"/>
          <w:szCs w:val="28"/>
          <w:lang w:val="en-US"/>
        </w:rPr>
        <w:t>I</w:t>
      </w:r>
      <w:r w:rsidRPr="000D2A84">
        <w:rPr>
          <w:rFonts w:ascii="Times New Roman" w:hAnsi="Times New Roman"/>
          <w:sz w:val="28"/>
          <w:szCs w:val="28"/>
        </w:rPr>
        <w:t xml:space="preserve">  квартал 2018 года</w:t>
      </w:r>
      <w:r>
        <w:rPr>
          <w:rFonts w:ascii="Times New Roman" w:hAnsi="Times New Roman"/>
          <w:sz w:val="28"/>
          <w:szCs w:val="28"/>
        </w:rPr>
        <w:t>,</w:t>
      </w:r>
      <w:r w:rsidRPr="000D2A84">
        <w:rPr>
          <w:rFonts w:ascii="Times New Roman" w:hAnsi="Times New Roman"/>
          <w:sz w:val="28"/>
          <w:szCs w:val="28"/>
        </w:rPr>
        <w:t xml:space="preserve"> за </w:t>
      </w:r>
      <w:r w:rsidRPr="000D2A8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2018 года.</w:t>
      </w:r>
    </w:p>
    <w:p w:rsidR="00D24E46" w:rsidRPr="001F2586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58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F2586">
        <w:rPr>
          <w:rFonts w:ascii="Times New Roman" w:hAnsi="Times New Roman"/>
          <w:sz w:val="28"/>
          <w:szCs w:val="28"/>
        </w:rPr>
        <w:t xml:space="preserve">В нарушение пункта 15 </w:t>
      </w:r>
      <w:r w:rsidRPr="001F2586">
        <w:rPr>
          <w:rFonts w:ascii="Times New Roman" w:eastAsiaTheme="minorHAnsi" w:hAnsi="Times New Roman"/>
          <w:sz w:val="28"/>
          <w:szCs w:val="28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от 21.07.2011 г. № 86н</w:t>
      </w:r>
      <w:r w:rsidRPr="001F258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F2586">
        <w:rPr>
          <w:rFonts w:ascii="Times New Roman" w:eastAsiaTheme="minorHAnsi" w:hAnsi="Times New Roman"/>
          <w:sz w:val="28"/>
          <w:szCs w:val="28"/>
        </w:rPr>
        <w:t>информация о годовой бухгалтерской отчетности  размещена на официальном сайте позже установленного срока, не размещены изменения, вносимые в план финансово – хозяйственной деятельности на 2018 год.</w:t>
      </w:r>
      <w:proofErr w:type="gramEnd"/>
    </w:p>
    <w:p w:rsidR="00D24E46" w:rsidRPr="000D2A84" w:rsidRDefault="00D24E46" w:rsidP="00D24E46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2A84">
        <w:rPr>
          <w:rFonts w:ascii="Times New Roman" w:eastAsiaTheme="minorHAnsi" w:hAnsi="Times New Roman"/>
          <w:sz w:val="28"/>
          <w:szCs w:val="28"/>
        </w:rPr>
        <w:t>В рамках формирования Учетной политик</w:t>
      </w:r>
      <w:r>
        <w:rPr>
          <w:rFonts w:ascii="Times New Roman" w:eastAsiaTheme="minorHAnsi" w:hAnsi="Times New Roman"/>
          <w:sz w:val="28"/>
          <w:szCs w:val="28"/>
        </w:rPr>
        <w:t>и:</w:t>
      </w:r>
    </w:p>
    <w:p w:rsidR="00D24E46" w:rsidRPr="000D2A84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D2A84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D2A84">
        <w:rPr>
          <w:rFonts w:ascii="Times New Roman" w:eastAsiaTheme="minorHAnsi" w:hAnsi="Times New Roman"/>
          <w:sz w:val="28"/>
          <w:szCs w:val="28"/>
        </w:rPr>
        <w:t>не установлен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D2A84">
        <w:rPr>
          <w:rFonts w:ascii="Times New Roman" w:eastAsiaTheme="minorHAnsi" w:hAnsi="Times New Roman"/>
          <w:sz w:val="28"/>
          <w:szCs w:val="28"/>
        </w:rPr>
        <w:t>прядок формирования списания материальных ценностей, израсходованных при проведении массовых мероприятий, а также перечень документов, подтверждающих обоснованность произведенных расходов;</w:t>
      </w:r>
    </w:p>
    <w:p w:rsidR="00D24E46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D2A84"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Theme="minorHAnsi" w:hAnsi="Times New Roman"/>
          <w:sz w:val="28"/>
          <w:szCs w:val="28"/>
        </w:rPr>
        <w:t xml:space="preserve">не установлен </w:t>
      </w:r>
      <w:r w:rsidRPr="000D2A84">
        <w:rPr>
          <w:rFonts w:ascii="Times New Roman" w:eastAsiaTheme="minorHAnsi" w:hAnsi="Times New Roman"/>
          <w:sz w:val="28"/>
          <w:szCs w:val="28"/>
        </w:rPr>
        <w:t>учет материальных запасов  по счету 0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0D2A84">
        <w:rPr>
          <w:rFonts w:ascii="Times New Roman" w:eastAsiaTheme="minorHAnsi" w:hAnsi="Times New Roman"/>
          <w:sz w:val="28"/>
          <w:szCs w:val="28"/>
        </w:rPr>
        <w:t>105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0D2A84">
        <w:rPr>
          <w:rFonts w:ascii="Times New Roman" w:eastAsiaTheme="minorHAnsi" w:hAnsi="Times New Roman"/>
          <w:sz w:val="28"/>
          <w:szCs w:val="28"/>
        </w:rPr>
        <w:t>03</w:t>
      </w:r>
      <w:r>
        <w:rPr>
          <w:rFonts w:ascii="Times New Roman" w:eastAsiaTheme="minorHAnsi" w:hAnsi="Times New Roman"/>
          <w:sz w:val="28"/>
          <w:szCs w:val="28"/>
        </w:rPr>
        <w:t>.000 «Горюче – смазочные материалы»</w:t>
      </w:r>
      <w:r w:rsidRPr="000D2A84">
        <w:rPr>
          <w:rFonts w:ascii="Times New Roman" w:eastAsiaTheme="minorHAnsi" w:hAnsi="Times New Roman"/>
          <w:sz w:val="28"/>
          <w:szCs w:val="28"/>
        </w:rPr>
        <w:t>;</w:t>
      </w:r>
    </w:p>
    <w:p w:rsidR="00D24E46" w:rsidRPr="000D2A84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не установлен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использованием материальных ценностей, выданных на транспортное средство взамен изношенных (пункт 349 Инструкции № 157н);</w:t>
      </w:r>
    </w:p>
    <w:p w:rsidR="00D24E46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D2A84">
        <w:rPr>
          <w:rFonts w:ascii="Times New Roman" w:eastAsiaTheme="minorHAnsi" w:hAnsi="Times New Roman"/>
          <w:sz w:val="28"/>
          <w:szCs w:val="28"/>
        </w:rPr>
        <w:t>- не утверждена форма отчета</w:t>
      </w:r>
      <w:r w:rsidRPr="000D2A8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D2A84">
        <w:rPr>
          <w:rFonts w:ascii="Times New Roman" w:eastAsiaTheme="minorHAnsi" w:hAnsi="Times New Roman"/>
          <w:sz w:val="28"/>
          <w:szCs w:val="28"/>
        </w:rPr>
        <w:t>по использованию бланков строгой отчетности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24E46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-н</w:t>
      </w:r>
      <w:r w:rsidRPr="000D2A84">
        <w:rPr>
          <w:rFonts w:ascii="Times New Roman" w:eastAsiaTheme="minorHAnsi" w:hAnsi="Times New Roman"/>
          <w:sz w:val="28"/>
          <w:szCs w:val="28"/>
        </w:rPr>
        <w:t>е закреплены формы первичных учетных документов,</w:t>
      </w:r>
      <w:r w:rsidRPr="000D2A8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D2A84">
        <w:rPr>
          <w:rFonts w:ascii="Times New Roman" w:eastAsiaTheme="minorHAnsi" w:hAnsi="Times New Roman"/>
          <w:sz w:val="28"/>
          <w:szCs w:val="28"/>
        </w:rPr>
        <w:t>утвержденных постановлением Госкомстата РФ от 28.11.1997 г. № 78 «Об утверждении унифицированных форм первичной учетной документации по учету работ строительных машин и механизмов, работ в автомобильном транспорте»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24E46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-в</w:t>
      </w:r>
      <w:r w:rsidRPr="00213F6F">
        <w:rPr>
          <w:rFonts w:ascii="Times New Roman" w:eastAsiaTheme="minorHAnsi" w:hAnsi="Times New Roman"/>
          <w:sz w:val="28"/>
          <w:szCs w:val="28"/>
        </w:rPr>
        <w:t xml:space="preserve"> рабочий план счетов приложение № 1 к Учетной политике для целей бухгалтерского учеты не внесены изменения на основании приказа Минфина РФ от 31.03.2018 г. № 65н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24E46" w:rsidRDefault="00D24E46" w:rsidP="00D24E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 w:rsidRPr="007A5152">
        <w:rPr>
          <w:rFonts w:ascii="Times New Roman" w:eastAsiaTheme="minorHAnsi" w:hAnsi="Times New Roman"/>
          <w:sz w:val="28"/>
          <w:szCs w:val="28"/>
        </w:rPr>
        <w:t>-</w:t>
      </w:r>
      <w:r w:rsidRPr="007A5152">
        <w:rPr>
          <w:rFonts w:ascii="Times New Roman" w:hAnsi="Times New Roman"/>
          <w:sz w:val="28"/>
          <w:szCs w:val="28"/>
        </w:rPr>
        <w:t xml:space="preserve"> не определен способ заполнения табеля</w:t>
      </w:r>
      <w:r>
        <w:rPr>
          <w:rFonts w:ascii="Times New Roman" w:hAnsi="Times New Roman"/>
          <w:sz w:val="28"/>
          <w:szCs w:val="28"/>
        </w:rPr>
        <w:t xml:space="preserve"> учета рабочего времени</w:t>
      </w:r>
      <w:r w:rsidRPr="007A515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A5152">
          <w:rPr>
            <w:rFonts w:ascii="Times New Roman" w:hAnsi="Times New Roman"/>
            <w:sz w:val="28"/>
            <w:szCs w:val="28"/>
          </w:rPr>
          <w:t>(ф. 0504421)</w:t>
        </w:r>
      </w:hyperlink>
      <w:r>
        <w:t>.</w:t>
      </w:r>
    </w:p>
    <w:p w:rsidR="00D24E46" w:rsidRDefault="00D24E46" w:rsidP="00D24E4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</w:t>
      </w:r>
      <w:r w:rsidRPr="00213F6F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F6F">
        <w:rPr>
          <w:rFonts w:ascii="Times New Roman" w:hAnsi="Times New Roman"/>
          <w:sz w:val="28"/>
          <w:szCs w:val="28"/>
        </w:rPr>
        <w:t>В нарушение пункта 337 Инструкции № 157н  билеты, топливная карта в перечень учитывае</w:t>
      </w:r>
      <w:r>
        <w:rPr>
          <w:rFonts w:ascii="Times New Roman" w:hAnsi="Times New Roman"/>
          <w:sz w:val="28"/>
          <w:szCs w:val="28"/>
        </w:rPr>
        <w:t xml:space="preserve">мых бланков строгой отчетности </w:t>
      </w:r>
      <w:r w:rsidRPr="00213F6F">
        <w:rPr>
          <w:rFonts w:ascii="Times New Roman" w:hAnsi="Times New Roman"/>
          <w:sz w:val="28"/>
          <w:szCs w:val="28"/>
        </w:rPr>
        <w:t>в Учетн</w:t>
      </w:r>
      <w:r>
        <w:rPr>
          <w:rFonts w:ascii="Times New Roman" w:hAnsi="Times New Roman"/>
          <w:sz w:val="28"/>
          <w:szCs w:val="28"/>
        </w:rPr>
        <w:t>ую</w:t>
      </w:r>
      <w:r w:rsidRPr="00213F6F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13F6F">
        <w:rPr>
          <w:rFonts w:ascii="Times New Roman" w:hAnsi="Times New Roman"/>
          <w:sz w:val="28"/>
          <w:szCs w:val="28"/>
        </w:rPr>
        <w:t xml:space="preserve">Учреждения не внесены. </w:t>
      </w:r>
    </w:p>
    <w:p w:rsidR="00D24E46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C36DBC">
        <w:rPr>
          <w:rFonts w:ascii="Times New Roman" w:hAnsi="Times New Roman"/>
          <w:sz w:val="28"/>
          <w:szCs w:val="28"/>
        </w:rPr>
        <w:t>.</w:t>
      </w:r>
      <w:r w:rsidRPr="00C36DBC">
        <w:rPr>
          <w:rFonts w:ascii="Times New Roman" w:hAnsi="Times New Roman"/>
          <w:b/>
          <w:sz w:val="28"/>
          <w:szCs w:val="28"/>
        </w:rPr>
        <w:t xml:space="preserve"> </w:t>
      </w:r>
      <w:r w:rsidRPr="00C36DBC">
        <w:rPr>
          <w:rFonts w:ascii="Times New Roman" w:hAnsi="Times New Roman"/>
          <w:sz w:val="28"/>
          <w:szCs w:val="28"/>
        </w:rPr>
        <w:t xml:space="preserve">В нарушение пункта 29 Приказа Минфина РФ от 31.12.2016 г. № 256н «Об утверждении федерального </w:t>
      </w:r>
      <w:hyperlink r:id="rId8" w:history="1">
        <w:proofErr w:type="gramStart"/>
        <w:r w:rsidRPr="00C36DBC">
          <w:rPr>
            <w:rFonts w:ascii="Times New Roman" w:hAnsi="Times New Roman"/>
            <w:sz w:val="28"/>
            <w:szCs w:val="28"/>
          </w:rPr>
          <w:t>стандарт</w:t>
        </w:r>
        <w:proofErr w:type="gramEnd"/>
      </w:hyperlink>
      <w:r w:rsidRPr="00C36DBC">
        <w:rPr>
          <w:rFonts w:ascii="Times New Roman" w:hAnsi="Times New Roman"/>
          <w:sz w:val="28"/>
          <w:szCs w:val="28"/>
        </w:rPr>
        <w:t>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 и пункта 11 Инструкции № 157н принятие первичных (сводных) документов к бухгалтерскому учету производилось позднее следующего дня после получения (составления).</w:t>
      </w:r>
    </w:p>
    <w:p w:rsidR="00D24E46" w:rsidRPr="00C36DBC" w:rsidRDefault="00D24E46" w:rsidP="00D24E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 Не установлены нормы расхода  смазочных материалов (масло моторное, специальные жидкости) для автобуса на основании </w:t>
      </w:r>
      <w:r w:rsidRPr="00D45225">
        <w:rPr>
          <w:rFonts w:ascii="Times New Roman" w:hAnsi="Times New Roman"/>
          <w:sz w:val="28"/>
          <w:szCs w:val="28"/>
        </w:rPr>
        <w:t>распоряжения Министерство транспорта Российской Федерации от 14.03.2008 г. № АМ-23-р «О введении в действие методических рекомендаций «Нормы расхода топлив и смазочных материалов на автомобильном транспорте»</w:t>
      </w:r>
      <w:r>
        <w:rPr>
          <w:rFonts w:ascii="Times New Roman" w:hAnsi="Times New Roman"/>
          <w:sz w:val="28"/>
          <w:szCs w:val="28"/>
        </w:rPr>
        <w:t>.</w:t>
      </w:r>
    </w:p>
    <w:p w:rsidR="00D24E46" w:rsidRDefault="00D24E46" w:rsidP="00D24E4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D24E46" w:rsidRDefault="00D24E46" w:rsidP="00D24E4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10826" w:rsidRPr="00B10826" w:rsidRDefault="00B10826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D24E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12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4E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ноября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D24E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37984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7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17F16"/>
    <w:rsid w:val="00131D7D"/>
    <w:rsid w:val="00154D05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D769E"/>
    <w:rsid w:val="0043255A"/>
    <w:rsid w:val="00472665"/>
    <w:rsid w:val="004922D9"/>
    <w:rsid w:val="004D1CF2"/>
    <w:rsid w:val="004F2E62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7F6E18"/>
    <w:rsid w:val="008124D6"/>
    <w:rsid w:val="008242A6"/>
    <w:rsid w:val="008F3602"/>
    <w:rsid w:val="009C538F"/>
    <w:rsid w:val="00A12492"/>
    <w:rsid w:val="00AB10C7"/>
    <w:rsid w:val="00AD017F"/>
    <w:rsid w:val="00B01EC1"/>
    <w:rsid w:val="00B10826"/>
    <w:rsid w:val="00B17C4B"/>
    <w:rsid w:val="00B242F6"/>
    <w:rsid w:val="00BA238F"/>
    <w:rsid w:val="00C0035D"/>
    <w:rsid w:val="00C113EC"/>
    <w:rsid w:val="00C62788"/>
    <w:rsid w:val="00CD1D0E"/>
    <w:rsid w:val="00CF7E7D"/>
    <w:rsid w:val="00D01DC3"/>
    <w:rsid w:val="00D10195"/>
    <w:rsid w:val="00D24E46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D24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518074632927630CDDDC6CD5C9490921CB1F3009CCD373CC8CFB5111B1B0z3m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85FA18D63E95DA095F09482E92D0A2E0519E2AC07D05345D6311F6F3373109F2EB8D132B786E7E0FJ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07356AD23DE638CB33EDBCF3C9F5FE1E87536148063DCBFAB835D1815802D604585F93EA41F811D6A333F9763B225BD8CC1C8BEDDEDBF5e3g6G" TargetMode="External"/><Relationship Id="rId5" Type="http://schemas.openxmlformats.org/officeDocument/2006/relationships/hyperlink" Target="http://www.bus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32</cp:revision>
  <dcterms:created xsi:type="dcterms:W3CDTF">2016-02-04T06:30:00Z</dcterms:created>
  <dcterms:modified xsi:type="dcterms:W3CDTF">2018-11-28T06:10:00Z</dcterms:modified>
</cp:coreProperties>
</file>