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B1" w:rsidRDefault="000F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Утверждена</w:t>
      </w:r>
    </w:p>
    <w:p w:rsidR="009167B1" w:rsidRDefault="000F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9167B1" w:rsidRDefault="000F7BF9">
      <w:pPr>
        <w:jc w:val="right"/>
        <w:rPr>
          <w:sz w:val="24"/>
          <w:szCs w:val="24"/>
        </w:rPr>
      </w:pPr>
      <w:r>
        <w:rPr>
          <w:sz w:val="24"/>
          <w:szCs w:val="24"/>
        </w:rPr>
        <w:t>Чебаркульского городского округа</w:t>
      </w:r>
    </w:p>
    <w:p w:rsidR="009167B1" w:rsidRDefault="000F7BF9">
      <w:pPr>
        <w:jc w:val="right"/>
      </w:pPr>
      <w:r>
        <w:rPr>
          <w:sz w:val="24"/>
          <w:szCs w:val="24"/>
        </w:rPr>
        <w:t>от___</w:t>
      </w:r>
      <w:r w:rsidR="008D6936">
        <w:rPr>
          <w:sz w:val="24"/>
          <w:szCs w:val="24"/>
          <w:lang w:val="en-US"/>
        </w:rPr>
        <w:t>10</w:t>
      </w:r>
      <w:r w:rsidR="008D6936">
        <w:rPr>
          <w:sz w:val="24"/>
          <w:szCs w:val="24"/>
        </w:rPr>
        <w:t>.11.2023</w:t>
      </w:r>
      <w:r>
        <w:rPr>
          <w:sz w:val="24"/>
          <w:szCs w:val="24"/>
        </w:rPr>
        <w:t>_____№__</w:t>
      </w:r>
      <w:r w:rsidR="008D6936">
        <w:rPr>
          <w:sz w:val="24"/>
          <w:szCs w:val="24"/>
        </w:rPr>
        <w:t>880</w:t>
      </w:r>
      <w:r>
        <w:rPr>
          <w:sz w:val="24"/>
          <w:szCs w:val="24"/>
        </w:rPr>
        <w:t>_</w:t>
      </w:r>
    </w:p>
    <w:p w:rsidR="009167B1" w:rsidRDefault="009167B1">
      <w:pPr>
        <w:widowControl w:val="0"/>
        <w:jc w:val="center"/>
        <w:rPr>
          <w:color w:val="000000"/>
          <w:sz w:val="24"/>
          <w:szCs w:val="24"/>
        </w:rPr>
      </w:pPr>
    </w:p>
    <w:p w:rsidR="009167B1" w:rsidRDefault="009167B1">
      <w:pPr>
        <w:widowControl w:val="0"/>
        <w:jc w:val="center"/>
        <w:rPr>
          <w:color w:val="000000"/>
          <w:sz w:val="24"/>
          <w:szCs w:val="24"/>
        </w:rPr>
      </w:pPr>
    </w:p>
    <w:p w:rsidR="009167B1" w:rsidRDefault="000F7BF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</w:t>
      </w:r>
    </w:p>
    <w:p w:rsidR="009167B1" w:rsidRDefault="000F7BF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муниципальной программы Чебаркульского городского округа</w:t>
      </w:r>
    </w:p>
    <w:p w:rsidR="009167B1" w:rsidRDefault="000F7BF9">
      <w:pPr>
        <w:widowControl w:val="0"/>
        <w:jc w:val="center"/>
      </w:pPr>
      <w:r>
        <w:rPr>
          <w:color w:val="000000"/>
          <w:sz w:val="24"/>
          <w:szCs w:val="24"/>
          <w:u w:val="single"/>
        </w:rPr>
        <w:t xml:space="preserve">«Развитие муниципальной службы в </w:t>
      </w:r>
      <w:proofErr w:type="spellStart"/>
      <w:r>
        <w:rPr>
          <w:color w:val="000000"/>
          <w:sz w:val="24"/>
          <w:szCs w:val="24"/>
          <w:u w:val="single"/>
        </w:rPr>
        <w:t>Чебаркульском</w:t>
      </w:r>
      <w:proofErr w:type="spellEnd"/>
      <w:r>
        <w:rPr>
          <w:color w:val="000000"/>
          <w:sz w:val="24"/>
          <w:szCs w:val="24"/>
          <w:u w:val="single"/>
        </w:rPr>
        <w:t xml:space="preserve"> городском округе»</w:t>
      </w:r>
    </w:p>
    <w:p w:rsidR="009167B1" w:rsidRDefault="000F7BF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муниципальной  программы)</w:t>
      </w:r>
    </w:p>
    <w:p w:rsidR="009167B1" w:rsidRDefault="009167B1">
      <w:pPr>
        <w:widowControl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9570" w:type="dxa"/>
        <w:tblInd w:w="-111" w:type="dxa"/>
        <w:tblLayout w:type="fixed"/>
        <w:tblLook w:val="04A0"/>
      </w:tblPr>
      <w:tblGrid>
        <w:gridCol w:w="4752"/>
        <w:gridCol w:w="4818"/>
      </w:tblGrid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Чебаркульского городского ок</w:t>
            </w:r>
            <w:r>
              <w:rPr>
                <w:sz w:val="24"/>
                <w:szCs w:val="24"/>
              </w:rPr>
              <w:t>руга (отдел муниципальной службы, кадровой работы и противодействия коррупции)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Соисполнители 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Чебаркульского городского округа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муниципальной собственности администрации Чебаркульского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Чебаркульского городского округа 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 администрации Чебаркульского городского округа 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жилищно-коммунального хозяйства администрации Чебаркульского городского округа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Чебаркульского городского округа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Чебаркульского городского округа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>Контрольно-счетный комит</w:t>
            </w:r>
            <w:r>
              <w:rPr>
                <w:sz w:val="24"/>
                <w:szCs w:val="24"/>
              </w:rPr>
              <w:t>ет Чебаркульского городского округа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Чебаркульского городского округа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цели 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>- создание организационных, информационных, финансовых условий для эффективного развития и совершенств</w:t>
            </w:r>
            <w:r>
              <w:rPr>
                <w:sz w:val="24"/>
                <w:szCs w:val="24"/>
              </w:rPr>
              <w:t>ования муниципальной службы на территории Чебаркульского городского округа;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и результативности деятельности муниципальных служащих в МО «</w:t>
            </w:r>
            <w:proofErr w:type="spellStart"/>
            <w:r>
              <w:rPr>
                <w:sz w:val="24"/>
                <w:szCs w:val="24"/>
              </w:rPr>
              <w:t>Чебаркульский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округ» (далее – муниципальные служащие)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задачи 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 xml:space="preserve">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>-повышение квалификации  муниципальных служащих;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-формирование системы функционального </w:t>
            </w:r>
            <w:r>
              <w:rPr>
                <w:sz w:val="24"/>
                <w:szCs w:val="24"/>
              </w:rPr>
              <w:lastRenderedPageBreak/>
              <w:t xml:space="preserve">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престижа </w:t>
            </w:r>
            <w:r>
              <w:rPr>
                <w:sz w:val="24"/>
                <w:szCs w:val="24"/>
              </w:rPr>
              <w:t>муниципальной службы, создание условий для должностного (служебного) роста муниципальных служащих, формирование высококвалифицированного кадрового состава муниципальных служащих Чебаркульского городского округа и лиц, замещающих муниципальные должности Чеб</w:t>
            </w:r>
            <w:r>
              <w:rPr>
                <w:sz w:val="24"/>
                <w:szCs w:val="24"/>
              </w:rPr>
              <w:t>аркульского городского округа, обеспечивающих эффективность муниципального управления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</w:t>
            </w:r>
            <w:r>
              <w:rPr>
                <w:sz w:val="24"/>
                <w:szCs w:val="24"/>
              </w:rPr>
              <w:t xml:space="preserve"> физического и психического здоровья муниципальных служащих администрации ЧГО отраслевых (функциональных) подведомственных учреждений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Этапы и сроки реализации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финансируется за счет средств местного бюджета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 xml:space="preserve">Общий объем финансирования на 2024 год и плановый период 2025 и 2026 годов за счет местного бюджета </w:t>
            </w:r>
            <w:r>
              <w:rPr>
                <w:color w:val="FF0000"/>
                <w:sz w:val="24"/>
                <w:szCs w:val="24"/>
              </w:rPr>
              <w:t>1 676 000</w:t>
            </w:r>
            <w:r>
              <w:rPr>
                <w:sz w:val="24"/>
                <w:szCs w:val="24"/>
              </w:rPr>
              <w:t xml:space="preserve"> руб., в том  числе: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 xml:space="preserve">2024 год – </w:t>
            </w:r>
            <w:r>
              <w:rPr>
                <w:color w:val="FF0000"/>
                <w:sz w:val="24"/>
                <w:szCs w:val="24"/>
              </w:rPr>
              <w:t>558</w:t>
            </w:r>
            <w:r>
              <w:rPr>
                <w:color w:val="FF0000"/>
                <w:sz w:val="24"/>
                <w:szCs w:val="24"/>
              </w:rPr>
              <w:t xml:space="preserve"> 000</w:t>
            </w:r>
            <w:r>
              <w:rPr>
                <w:sz w:val="24"/>
                <w:szCs w:val="24"/>
              </w:rPr>
              <w:t xml:space="preserve"> руб.;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 xml:space="preserve">2025 год – </w:t>
            </w:r>
            <w:r>
              <w:rPr>
                <w:color w:val="FF0000"/>
                <w:sz w:val="24"/>
                <w:szCs w:val="24"/>
              </w:rPr>
              <w:t>559 000</w:t>
            </w:r>
            <w:r>
              <w:rPr>
                <w:sz w:val="24"/>
                <w:szCs w:val="24"/>
              </w:rPr>
              <w:t xml:space="preserve"> руб.;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 xml:space="preserve">2026 год – </w:t>
            </w:r>
            <w:r>
              <w:rPr>
                <w:color w:val="FF0000"/>
                <w:sz w:val="24"/>
                <w:szCs w:val="24"/>
              </w:rPr>
              <w:t>559 000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 w:rsidR="009167B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муниципальных служащих Чебаркульского городского округа, прошедших повышение квалификации;</w:t>
            </w:r>
          </w:p>
          <w:p w:rsidR="009167B1" w:rsidRDefault="000F7BF9">
            <w:pPr>
              <w:jc w:val="both"/>
            </w:pPr>
            <w:r>
              <w:rPr>
                <w:sz w:val="24"/>
                <w:szCs w:val="24"/>
              </w:rPr>
              <w:t>- проведение конкурсов на включение  в кадр</w:t>
            </w:r>
            <w:r>
              <w:rPr>
                <w:sz w:val="24"/>
                <w:szCs w:val="24"/>
              </w:rPr>
              <w:t>овый резерв;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 проведение аттестаций муниципальных служащих;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 муниципальных служащих, прошедших диспансеризацию.</w:t>
            </w:r>
          </w:p>
        </w:tc>
      </w:tr>
      <w:tr w:rsidR="009167B1">
        <w:trPr>
          <w:trHeight w:val="597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</w:t>
            </w:r>
          </w:p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-количество муниципальных служащих,; </w:t>
            </w:r>
            <w:r>
              <w:rPr>
                <w:color w:val="000000"/>
                <w:sz w:val="24"/>
                <w:szCs w:val="24"/>
              </w:rPr>
              <w:t>28 человек в год;</w:t>
            </w:r>
          </w:p>
          <w:p w:rsidR="009167B1" w:rsidRDefault="000F7B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-проведение конкурсов на включение  в кадровый </w:t>
            </w:r>
            <w:proofErr w:type="spellStart"/>
            <w:r>
              <w:rPr>
                <w:color w:val="000000"/>
                <w:sz w:val="24"/>
                <w:szCs w:val="24"/>
              </w:rPr>
              <w:t>резерв</w:t>
            </w:r>
            <w:proofErr w:type="gramStart"/>
            <w:r>
              <w:rPr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:rsidR="009167B1" w:rsidRDefault="000F7B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проведение аттестаций муниципальных </w:t>
            </w:r>
            <w:proofErr w:type="spellStart"/>
            <w:r>
              <w:rPr>
                <w:sz w:val="24"/>
                <w:szCs w:val="24"/>
              </w:rPr>
              <w:t>служащих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167B1" w:rsidRDefault="000F7BF9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-количество муниципальных служащих, прошедших диспансеризацию,112 человек в </w:t>
            </w:r>
            <w:r>
              <w:rPr>
                <w:color w:val="000000"/>
                <w:sz w:val="24"/>
                <w:szCs w:val="24"/>
              </w:rPr>
              <w:lastRenderedPageBreak/>
              <w:t>год</w:t>
            </w:r>
          </w:p>
        </w:tc>
      </w:tr>
    </w:tbl>
    <w:p w:rsidR="009167B1" w:rsidRDefault="009167B1">
      <w:pPr>
        <w:rPr>
          <w:sz w:val="24"/>
          <w:szCs w:val="24"/>
        </w:rPr>
      </w:pPr>
    </w:p>
    <w:p w:rsidR="009167B1" w:rsidRDefault="000F7B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 и обоснование</w:t>
      </w:r>
    </w:p>
    <w:p w:rsidR="009167B1" w:rsidRDefault="000F7BF9">
      <w:pPr>
        <w:jc w:val="center"/>
      </w:pPr>
      <w:r>
        <w:rPr>
          <w:sz w:val="28"/>
          <w:szCs w:val="28"/>
        </w:rPr>
        <w:t>необходимости ее реше</w:t>
      </w:r>
      <w:r>
        <w:rPr>
          <w:sz w:val="28"/>
          <w:szCs w:val="28"/>
        </w:rPr>
        <w:t>ния программными методами</w:t>
      </w:r>
    </w:p>
    <w:p w:rsidR="009167B1" w:rsidRDefault="009167B1">
      <w:pPr>
        <w:jc w:val="center"/>
        <w:rPr>
          <w:sz w:val="28"/>
          <w:szCs w:val="28"/>
        </w:rPr>
      </w:pP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Программа разработана в соответствии со статьей 35 Федерального закона от 2 марта 2007 года №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согласно которой развитие муниципальной службы обеспечивается программами развития муниципальной службы в Российской Федерации, Челябинской области и органов местного самоуправления, финансируемыми за счет соответствующих бюджетов. В соответствии с федер</w:t>
      </w:r>
      <w:r>
        <w:rPr>
          <w:rFonts w:ascii="Times New Roman" w:hAnsi="Times New Roman" w:cs="Times New Roman"/>
          <w:sz w:val="28"/>
          <w:szCs w:val="28"/>
        </w:rPr>
        <w:t>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Подготовка кадров для органов местного самоуправления на территории Чебаркульского городского округа явля</w:t>
      </w:r>
      <w:r>
        <w:rPr>
          <w:rFonts w:ascii="Times New Roman" w:hAnsi="Times New Roman" w:cs="Times New Roman"/>
          <w:sz w:val="28"/>
          <w:szCs w:val="28"/>
        </w:rPr>
        <w:t>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</w:t>
      </w:r>
      <w:r>
        <w:rPr>
          <w:rFonts w:ascii="Times New Roman" w:hAnsi="Times New Roman" w:cs="Times New Roman"/>
          <w:sz w:val="28"/>
          <w:szCs w:val="28"/>
        </w:rPr>
        <w:t>естного самоуправления у населения.</w:t>
      </w:r>
    </w:p>
    <w:p w:rsidR="009167B1" w:rsidRDefault="000F7BF9">
      <w:pPr>
        <w:pStyle w:val="a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единой системы обучения муниципальных служащих в  2020-2025 г.г. будет продолжено в рамках реализации областной целевой программы "Оптимизация функций государствен</w:t>
      </w:r>
      <w:r>
        <w:rPr>
          <w:rFonts w:ascii="Times New Roman" w:hAnsi="Times New Roman" w:cs="Times New Roman"/>
          <w:sz w:val="28"/>
          <w:szCs w:val="28"/>
        </w:rPr>
        <w:t>ного (муниципального) управления Челябинской области и повышение эффективности их обеспечения" на 2020 - 2025 годы" утвержденной  Постановлением Правительства Челябинской области от 19 декабря 2019 г. № 555-П "О государственной программе Челябинской област</w:t>
      </w:r>
      <w:r>
        <w:rPr>
          <w:rFonts w:ascii="Times New Roman" w:hAnsi="Times New Roman" w:cs="Times New Roman"/>
          <w:sz w:val="28"/>
          <w:szCs w:val="28"/>
        </w:rPr>
        <w:t>и "Оптимизация функций государственного (муниципального) управления Челябинской области и повышение эффективности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обеспечения" на 2020 - 2025 годы".  Это позволит обеспечить стабильно высокий уровень качества подготовки и повышения квалификации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служащих за счет привлечения к процессу обучения профессионалов из научного сообщества, а также обладающих огромным практическим опытом сотрудников и руководителей органов государственной власти Челябинской области и органов местного самоуправления. </w:t>
      </w:r>
    </w:p>
    <w:p w:rsidR="009167B1" w:rsidRDefault="000F7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и социального развития Российской Федерации от 14.12.2009 № 984-н утверждён перечень заболеваний, препятствующих прохождению муниципальной службы, а также порядок прохождения ежегодной диспансеризации муниципальных сл</w:t>
      </w:r>
      <w:r>
        <w:rPr>
          <w:sz w:val="28"/>
          <w:szCs w:val="28"/>
        </w:rPr>
        <w:t xml:space="preserve">ужащих. </w:t>
      </w:r>
    </w:p>
    <w:p w:rsidR="009167B1" w:rsidRDefault="000F7BF9">
      <w:pPr>
        <w:ind w:firstLine="540"/>
        <w:jc w:val="both"/>
      </w:pPr>
      <w:r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от 26 августа 2011 г. № 989н утвержден перечень </w:t>
      </w:r>
      <w:r>
        <w:rPr>
          <w:rFonts w:eastAsia="Calibri"/>
          <w:sz w:val="28"/>
          <w:szCs w:val="28"/>
          <w:lang w:eastAsia="en-US"/>
        </w:rPr>
        <w:lastRenderedPageBreak/>
        <w:t>медицинских противопоказаний для работы с использованием сведений, составляющих государственную тайну.</w:t>
      </w:r>
    </w:p>
    <w:p w:rsidR="009167B1" w:rsidRDefault="000F7BF9">
      <w:pPr>
        <w:tabs>
          <w:tab w:val="left" w:pos="742"/>
        </w:tabs>
        <w:ind w:firstLine="720"/>
        <w:jc w:val="both"/>
      </w:pPr>
      <w:r>
        <w:rPr>
          <w:sz w:val="28"/>
          <w:szCs w:val="28"/>
        </w:rPr>
        <w:t>Предлагаемая П</w:t>
      </w:r>
      <w:r>
        <w:rPr>
          <w:sz w:val="28"/>
          <w:szCs w:val="28"/>
        </w:rPr>
        <w:t xml:space="preserve">рограмма содержит мероприятия социального характера: проведение ежегодной диспансеризации муниципальных служащих. 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Реализация Программы должна способствовать формированию у муниципальных служащих необходимых профессиональных знаний, умений и навыков, по</w:t>
      </w:r>
      <w:r>
        <w:rPr>
          <w:rFonts w:ascii="Times New Roman" w:hAnsi="Times New Roman" w:cs="Times New Roman"/>
          <w:sz w:val="28"/>
          <w:szCs w:val="28"/>
        </w:rPr>
        <w:t>зволяющих эффективно исполнять должностные обязанности в органах местного самоуправления.</w:t>
      </w:r>
    </w:p>
    <w:p w:rsidR="009167B1" w:rsidRDefault="009167B1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67B1" w:rsidRDefault="000F7BF9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Раздел 2. Основные цели и задачи муниципальной программы</w:t>
      </w:r>
    </w:p>
    <w:p w:rsidR="009167B1" w:rsidRDefault="009167B1">
      <w:pPr>
        <w:rPr>
          <w:color w:val="FF0000"/>
          <w:sz w:val="28"/>
          <w:szCs w:val="28"/>
        </w:rPr>
      </w:pP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Целями Программы являются: создание организационных, информационных, финансовых условий для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 и совершенствования муниципальной службы на территории Чебаркульского городского округа; повышение эффективности и результативности деятельности муниципальных служащих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(далее – муниципальные служащие)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Задачи П</w:t>
      </w:r>
      <w:r>
        <w:rPr>
          <w:rFonts w:ascii="Times New Roman" w:hAnsi="Times New Roman" w:cs="Times New Roman"/>
          <w:sz w:val="28"/>
          <w:szCs w:val="28"/>
        </w:rPr>
        <w:t>рограммы:</w:t>
      </w:r>
    </w:p>
    <w:p w:rsidR="009167B1" w:rsidRDefault="000F7BF9">
      <w:pPr>
        <w:jc w:val="both"/>
      </w:pPr>
      <w:r>
        <w:rPr>
          <w:sz w:val="24"/>
          <w:szCs w:val="24"/>
        </w:rPr>
        <w:tab/>
      </w:r>
      <w:r>
        <w:rPr>
          <w:sz w:val="28"/>
          <w:szCs w:val="28"/>
        </w:rPr>
        <w:t>-повышение квалификации  муниципальных служащих;</w:t>
      </w:r>
    </w:p>
    <w:p w:rsidR="009167B1" w:rsidRDefault="000F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-формирование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престижа му</w:t>
      </w:r>
      <w:r>
        <w:rPr>
          <w:sz w:val="28"/>
          <w:szCs w:val="28"/>
        </w:rPr>
        <w:t>ниципальной службы, создание условий для должностного (служебного) роста муниципальных служащих, формирование высококвалифицированного кадрового состава муниципальных служащих Чебаркульского городского округа и лиц, замещающих муниципальные должности Чебар</w:t>
      </w:r>
      <w:r>
        <w:rPr>
          <w:sz w:val="28"/>
          <w:szCs w:val="28"/>
        </w:rPr>
        <w:t>кульского городского округа, обеспечивающих эффективность муниципального управления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7B1" w:rsidRDefault="000F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определение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</w:t>
      </w:r>
      <w:r>
        <w:rPr>
          <w:sz w:val="28"/>
          <w:szCs w:val="28"/>
        </w:rPr>
        <w:t>физического и психического здоровья муниципальных служащих администрации ЧГО отраслевых (функциональных) подведомственных учреждений;</w:t>
      </w:r>
    </w:p>
    <w:p w:rsidR="009167B1" w:rsidRDefault="009167B1">
      <w:pPr>
        <w:ind w:firstLine="720"/>
        <w:jc w:val="both"/>
        <w:rPr>
          <w:sz w:val="28"/>
          <w:szCs w:val="28"/>
        </w:rPr>
      </w:pPr>
    </w:p>
    <w:p w:rsidR="009167B1" w:rsidRDefault="000F7BF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Раздел 3. Сроки реализации муниципальной программы</w:t>
      </w:r>
    </w:p>
    <w:p w:rsidR="009167B1" w:rsidRDefault="009167B1">
      <w:pPr>
        <w:jc w:val="both"/>
        <w:rPr>
          <w:sz w:val="28"/>
          <w:szCs w:val="28"/>
        </w:rPr>
      </w:pPr>
    </w:p>
    <w:p w:rsidR="009167B1" w:rsidRDefault="000F7B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Срок реализации муниципальной программы: 2024 - 2026 годы. </w:t>
      </w:r>
      <w:r>
        <w:rPr>
          <w:sz w:val="28"/>
          <w:szCs w:val="28"/>
        </w:rPr>
        <w:tab/>
        <w:t>Муници</w:t>
      </w:r>
      <w:r>
        <w:rPr>
          <w:sz w:val="28"/>
          <w:szCs w:val="28"/>
        </w:rPr>
        <w:t>пальная программа носит постоянный характер. В силу постоянного характера решаемых задач, выделение отдельных этапов не предусмотрено.</w:t>
      </w: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9167B1">
      <w:pPr>
        <w:ind w:firstLine="720"/>
        <w:jc w:val="center"/>
        <w:rPr>
          <w:color w:val="000000"/>
          <w:sz w:val="28"/>
          <w:szCs w:val="28"/>
        </w:rPr>
      </w:pPr>
    </w:p>
    <w:p w:rsidR="009167B1" w:rsidRDefault="000F7BF9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4. «Система мероприятий и  показатели (индикаторы) муниципальной программы»</w:t>
      </w:r>
    </w:p>
    <w:tbl>
      <w:tblPr>
        <w:tblW w:w="983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3"/>
        <w:gridCol w:w="2360"/>
        <w:gridCol w:w="2126"/>
        <w:gridCol w:w="1422"/>
        <w:gridCol w:w="709"/>
        <w:gridCol w:w="142"/>
        <w:gridCol w:w="2546"/>
      </w:tblGrid>
      <w:tr w:rsidR="009167B1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муниципальной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(индикаторы)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 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соисполни-тель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 мероприятия</w:t>
            </w:r>
          </w:p>
        </w:tc>
      </w:tr>
      <w:tr w:rsidR="009167B1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hanging="2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9167B1"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создание организационных, информацио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нных, финансовых условий для эффективного развития и совершенствования муниципальной службы на территории Чебаркульского городского округа; повышение эффективности и результативности деятельности муниципальных служащих в МО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городской округ» </w:t>
            </w:r>
          </w:p>
        </w:tc>
      </w:tr>
      <w:tr w:rsidR="009167B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167B1" w:rsidRDefault="000F7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 муниципальных служащих</w:t>
            </w:r>
          </w:p>
          <w:p w:rsidR="009167B1" w:rsidRDefault="009167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1.1.направление муниципальных служащих на  курсы повышения квалификации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</w:pPr>
            <w:r>
              <w:rPr>
                <w:sz w:val="22"/>
                <w:szCs w:val="22"/>
              </w:rPr>
              <w:t xml:space="preserve">количество муниципальных служащих, прошедших повышение </w:t>
            </w:r>
            <w:proofErr w:type="spellStart"/>
            <w:r>
              <w:rPr>
                <w:sz w:val="22"/>
                <w:szCs w:val="22"/>
              </w:rPr>
              <w:t>квалификации</w:t>
            </w:r>
            <w:proofErr w:type="gramStart"/>
            <w:r>
              <w:rPr>
                <w:sz w:val="22"/>
                <w:szCs w:val="22"/>
              </w:rPr>
              <w:t>;ч</w:t>
            </w:r>
            <w:proofErr w:type="gramEnd"/>
            <w:r>
              <w:rPr>
                <w:sz w:val="22"/>
                <w:szCs w:val="22"/>
              </w:rPr>
              <w:t>еловек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center"/>
              <w:rPr>
                <w:color w:val="000000"/>
                <w:sz w:val="22"/>
                <w:szCs w:val="22"/>
              </w:rPr>
            </w:pPr>
          </w:p>
          <w:p w:rsidR="009167B1" w:rsidRDefault="009167B1">
            <w:pPr>
              <w:ind w:firstLine="851"/>
              <w:jc w:val="center"/>
              <w:rPr>
                <w:color w:val="000000"/>
                <w:sz w:val="22"/>
                <w:szCs w:val="22"/>
              </w:rPr>
            </w:pPr>
          </w:p>
          <w:p w:rsidR="009167B1" w:rsidRDefault="000F7BF9">
            <w:pPr>
              <w:ind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Чебаркульского городского округа (отдел муниципальной службы, кадровой работы и противодействия коррупции), отраслевые органы </w:t>
            </w:r>
          </w:p>
        </w:tc>
      </w:tr>
      <w:tr w:rsidR="009167B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</w:t>
            </w:r>
            <w:r>
              <w:rPr>
                <w:sz w:val="22"/>
                <w:szCs w:val="22"/>
              </w:rPr>
              <w:t>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престижа муниципальной службы, создание условий для должностного (служебного) роста муниципаль</w:t>
            </w:r>
            <w:r>
              <w:rPr>
                <w:sz w:val="22"/>
                <w:szCs w:val="22"/>
              </w:rPr>
              <w:t xml:space="preserve">ных служащих, формирование высококвалифицированного кадрового состава муниципальных служащих Чебаркульского городского округа и лиц, замещающих муниципальные должности Чебаркульского городского округа, </w:t>
            </w:r>
            <w:r>
              <w:rPr>
                <w:sz w:val="22"/>
                <w:szCs w:val="22"/>
              </w:rPr>
              <w:lastRenderedPageBreak/>
              <w:t>обеспечивающих эффективность муниципального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 Проведение  конкурсов для формирования кадрового резерва на замещение  должностей муниципальной службы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</w:pPr>
            <w:r>
              <w:rPr>
                <w:sz w:val="22"/>
                <w:szCs w:val="22"/>
              </w:rPr>
              <w:t>проведение конкурсов на включение  в кадровый резерв</w:t>
            </w:r>
            <w:proofErr w:type="gramStart"/>
            <w:r>
              <w:rPr>
                <w:sz w:val="22"/>
                <w:szCs w:val="22"/>
              </w:rPr>
              <w:t>;</w:t>
            </w:r>
          </w:p>
          <w:p w:rsidR="009167B1" w:rsidRDefault="000F7BF9">
            <w:pPr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, да/нет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r>
              <w:rPr>
                <w:sz w:val="21"/>
                <w:szCs w:val="21"/>
              </w:rPr>
              <w:t>Администрация Чебаркульского городского округа (отдел муниципальной службы</w:t>
            </w:r>
            <w:r>
              <w:rPr>
                <w:sz w:val="21"/>
                <w:szCs w:val="21"/>
              </w:rPr>
              <w:t>, кадровой работы и противодействия коррупции);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Управление по физической культуре и спорту; 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культуры;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образования;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управление;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муниципальной собственности;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жилищно-коммунального хозяйства;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социальной защиты населения;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Контрольно-счетный комитет Чебаркульского городского округа;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Собрание Депутатов Чебаркульского городского округа</w:t>
            </w:r>
          </w:p>
        </w:tc>
      </w:tr>
      <w:tr w:rsidR="009167B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2.2.Проведение аттестации муниципальных служащих.</w:t>
            </w:r>
          </w:p>
          <w:p w:rsidR="009167B1" w:rsidRDefault="009167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аттестаций муниципальных </w:t>
            </w:r>
            <w:proofErr w:type="spellStart"/>
            <w:r>
              <w:rPr>
                <w:sz w:val="22"/>
                <w:szCs w:val="22"/>
              </w:rPr>
              <w:t>служащих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r>
              <w:rPr>
                <w:sz w:val="21"/>
                <w:szCs w:val="21"/>
              </w:rPr>
              <w:t>Администрация Чебаркульского городского округа (отдел муниципальной службы, кадровой работы и противодействия коррупции);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Управление по физической культуре и спорту; 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культуры;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образования;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управление;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Управление </w:t>
            </w:r>
            <w:r>
              <w:rPr>
                <w:sz w:val="21"/>
                <w:szCs w:val="21"/>
              </w:rPr>
              <w:t>муниципальной собственности;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жилищно-коммунального хозяйства;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социальной защиты населения;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Контрольно-счетный комитет Чебаркульского городского округа;</w:t>
            </w:r>
          </w:p>
          <w:p w:rsidR="009167B1" w:rsidRDefault="000F7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Собрание Депутатов Чебаркульского городского округа</w:t>
            </w:r>
          </w:p>
        </w:tc>
      </w:tr>
      <w:tr w:rsidR="009167B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167B1" w:rsidRDefault="000F7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муниципальных служащих администрации ЧГО отраслевых (</w:t>
            </w:r>
            <w:r>
              <w:rPr>
                <w:sz w:val="22"/>
                <w:szCs w:val="22"/>
              </w:rPr>
              <w:t>функциональных) подведомственных учреждений;</w:t>
            </w:r>
          </w:p>
          <w:p w:rsidR="009167B1" w:rsidRDefault="009167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проведение ежегодной диспансеризации муниципальных служащих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</w:pPr>
            <w:r>
              <w:rPr>
                <w:sz w:val="22"/>
                <w:szCs w:val="22"/>
              </w:rPr>
              <w:t xml:space="preserve">Количество муниципальных служащих, прошедших </w:t>
            </w:r>
            <w:proofErr w:type="spellStart"/>
            <w:r>
              <w:rPr>
                <w:sz w:val="22"/>
                <w:szCs w:val="22"/>
              </w:rPr>
              <w:t>диспансеризацию</w:t>
            </w:r>
            <w:proofErr w:type="gramStart"/>
            <w:r>
              <w:rPr>
                <w:sz w:val="22"/>
                <w:szCs w:val="22"/>
              </w:rPr>
              <w:t>,ч</w:t>
            </w:r>
            <w:proofErr w:type="gramEnd"/>
            <w:r>
              <w:rPr>
                <w:sz w:val="22"/>
                <w:szCs w:val="22"/>
              </w:rPr>
              <w:t>еловек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a4"/>
              <w:ind w:right="-67" w:firstLine="0"/>
              <w:contextualSpacing/>
            </w:pPr>
            <w:r>
              <w:rPr>
                <w:sz w:val="21"/>
                <w:szCs w:val="21"/>
              </w:rPr>
              <w:t>Администрация Чебаркульского городского округа (отдел муниципально</w:t>
            </w:r>
            <w:r>
              <w:rPr>
                <w:sz w:val="21"/>
                <w:szCs w:val="21"/>
              </w:rPr>
              <w:t xml:space="preserve">й службы, кадровой работы и противодействия коррупции); </w:t>
            </w:r>
          </w:p>
          <w:p w:rsidR="009167B1" w:rsidRDefault="000F7BF9">
            <w:pPr>
              <w:pStyle w:val="a4"/>
              <w:ind w:right="-67" w:firstLine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Управление по физической культуре и спорту; 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культуры;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образования;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управление;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муниципальной собственности;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жилищно-коммунального хозяйства;</w:t>
            </w:r>
          </w:p>
          <w:p w:rsidR="009167B1" w:rsidRDefault="000F7BF9">
            <w:pPr>
              <w:widowControl w:val="0"/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</w:t>
            </w:r>
            <w:r>
              <w:rPr>
                <w:sz w:val="21"/>
                <w:szCs w:val="21"/>
              </w:rPr>
              <w:t>равление социальной защиты населения;</w:t>
            </w:r>
          </w:p>
          <w:p w:rsidR="009167B1" w:rsidRDefault="000F7BF9">
            <w:pPr>
              <w:ind w:right="7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Контрольно-счетный комитет Чебаркульского городского округа;</w:t>
            </w:r>
          </w:p>
          <w:p w:rsidR="009167B1" w:rsidRDefault="000F7BF9"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Собрание Депутатов Чебаркульского городского округа</w:t>
            </w:r>
          </w:p>
        </w:tc>
      </w:tr>
    </w:tbl>
    <w:p w:rsidR="009167B1" w:rsidRDefault="009167B1">
      <w:pPr>
        <w:ind w:firstLine="720"/>
        <w:jc w:val="center"/>
        <w:rPr>
          <w:sz w:val="28"/>
        </w:rPr>
      </w:pPr>
    </w:p>
    <w:p w:rsidR="009167B1" w:rsidRDefault="009167B1">
      <w:pPr>
        <w:ind w:firstLine="720"/>
        <w:jc w:val="center"/>
        <w:rPr>
          <w:sz w:val="28"/>
        </w:rPr>
      </w:pPr>
    </w:p>
    <w:p w:rsidR="009167B1" w:rsidRDefault="000F7BF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порядке сбора информации и методике расчета показателей (индикаторов) программы</w:t>
      </w:r>
    </w:p>
    <w:p w:rsidR="009167B1" w:rsidRDefault="009167B1">
      <w:pPr>
        <w:ind w:firstLine="709"/>
        <w:jc w:val="center"/>
        <w:rPr>
          <w:sz w:val="24"/>
          <w:szCs w:val="24"/>
        </w:rPr>
      </w:pPr>
    </w:p>
    <w:tbl>
      <w:tblPr>
        <w:tblW w:w="10348" w:type="dxa"/>
        <w:tblInd w:w="-719" w:type="dxa"/>
        <w:tblLayout w:type="fixed"/>
        <w:tblLook w:val="04A0"/>
      </w:tblPr>
      <w:tblGrid>
        <w:gridCol w:w="566"/>
        <w:gridCol w:w="1561"/>
        <w:gridCol w:w="709"/>
        <w:gridCol w:w="1701"/>
        <w:gridCol w:w="1842"/>
        <w:gridCol w:w="993"/>
        <w:gridCol w:w="708"/>
        <w:gridCol w:w="709"/>
        <w:gridCol w:w="1559"/>
      </w:tblGrid>
      <w:tr w:rsidR="009167B1">
        <w:trPr>
          <w:trHeight w:val="125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>Наименование показателя (индикатора)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>Ед. измерен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>Определение показателя (индикатора)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pPr>
              <w:ind w:left="-108" w:right="-108"/>
            </w:pPr>
            <w:r>
              <w:t xml:space="preserve">Временные </w:t>
            </w:r>
            <w:proofErr w:type="spellStart"/>
            <w:r>
              <w:t>характерис</w:t>
            </w:r>
            <w:proofErr w:type="spellEnd"/>
          </w:p>
          <w:p w:rsidR="009167B1" w:rsidRDefault="000F7BF9">
            <w:pPr>
              <w:ind w:left="-108" w:right="-108"/>
            </w:pPr>
            <w:r>
              <w:t>тики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>Алгоритм формирования (формула) расчета значения показателя (</w:t>
            </w:r>
            <w:proofErr w:type="spellStart"/>
            <w:proofErr w:type="gramStart"/>
            <w:r>
              <w:t>индикато-ра</w:t>
            </w:r>
            <w:proofErr w:type="spellEnd"/>
            <w:proofErr w:type="gramEnd"/>
            <w:r>
              <w:t>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proofErr w:type="spellStart"/>
            <w:proofErr w:type="gramStart"/>
            <w:r>
              <w:t>Базо-вые</w:t>
            </w:r>
            <w:proofErr w:type="spellEnd"/>
            <w:proofErr w:type="gramEnd"/>
            <w:r>
              <w:t xml:space="preserve"> показатели, используемые в формуле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t>Порядок сбора информации для расчета значения показателя (индикатора)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67B1" w:rsidRDefault="000F7BF9">
            <w:proofErr w:type="gramStart"/>
            <w:r>
              <w:t>Ответственный за сбор данных по целевому показателю</w:t>
            </w:r>
            <w:proofErr w:type="gramEnd"/>
          </w:p>
        </w:tc>
      </w:tr>
      <w:tr w:rsidR="009167B1">
        <w:trPr>
          <w:trHeight w:val="419"/>
        </w:trPr>
        <w:tc>
          <w:tcPr>
            <w:tcW w:w="5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муниципальных служащих Чебаркульского городского округа, прошедших повышение </w:t>
            </w:r>
            <w:proofErr w:type="spellStart"/>
            <w:r>
              <w:rPr>
                <w:sz w:val="24"/>
                <w:szCs w:val="24"/>
              </w:rPr>
              <w:t>квалификации</w:t>
            </w:r>
            <w:proofErr w:type="gramStart"/>
            <w:r>
              <w:rPr>
                <w:sz w:val="24"/>
                <w:szCs w:val="24"/>
              </w:rPr>
              <w:t>;ч</w:t>
            </w:r>
            <w:proofErr w:type="gramEnd"/>
            <w:r>
              <w:rPr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</w:pPr>
            <w:r>
              <w:rPr>
                <w:sz w:val="24"/>
                <w:szCs w:val="24"/>
              </w:rPr>
              <w:t>Документы, подтверждающие повышение квалификации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</w:tcPr>
          <w:p w:rsidR="009167B1" w:rsidRDefault="000F7BF9">
            <w:pPr>
              <w:ind w:hanging="10"/>
              <w:jc w:val="center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Чебаркуль-ского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городско-го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округа</w:t>
            </w:r>
          </w:p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(отдел 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муниципаль-ной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службы, кадровой работы и </w:t>
            </w:r>
            <w:proofErr w:type="spellStart"/>
            <w:r>
              <w:rPr>
                <w:color w:val="000000"/>
                <w:sz w:val="24"/>
                <w:szCs w:val="24"/>
              </w:rPr>
              <w:t>противодейст-вия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коррупции)</w:t>
            </w:r>
          </w:p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</w:tr>
      <w:tr w:rsidR="009167B1">
        <w:trPr>
          <w:trHeight w:val="1292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167B1" w:rsidRDefault="000F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</w:t>
            </w:r>
          </w:p>
          <w:p w:rsidR="009167B1" w:rsidRDefault="000F7BF9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подтверждающие проведение аттестации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</w:tr>
      <w:tr w:rsidR="009167B1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:rsidR="009167B1" w:rsidRDefault="000F7BF9">
            <w:r>
              <w:rPr>
                <w:sz w:val="24"/>
                <w:szCs w:val="24"/>
              </w:rPr>
              <w:t>Проведение конкурсов на включение  в кадровый резерв;</w:t>
            </w:r>
          </w:p>
          <w:p w:rsidR="009167B1" w:rsidRDefault="000F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</w:t>
            </w:r>
          </w:p>
          <w:p w:rsidR="009167B1" w:rsidRDefault="000F7BF9">
            <w:pPr>
              <w:ind w:right="-108"/>
              <w:jc w:val="center"/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в реестр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</w:tr>
      <w:tr w:rsidR="009167B1">
        <w:trPr>
          <w:trHeight w:val="80"/>
        </w:trPr>
        <w:tc>
          <w:tcPr>
            <w:tcW w:w="5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</w:tr>
      <w:tr w:rsidR="009167B1">
        <w:trPr>
          <w:trHeight w:val="2319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167B1" w:rsidRDefault="00916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 муниципальных служащих, прошедших </w:t>
            </w:r>
            <w:proofErr w:type="spellStart"/>
            <w:r>
              <w:rPr>
                <w:sz w:val="24"/>
                <w:szCs w:val="24"/>
              </w:rPr>
              <w:t>диспансеризацию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медицинской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</w:tcPr>
          <w:p w:rsidR="009167B1" w:rsidRDefault="009167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67B1" w:rsidRDefault="009167B1">
      <w:pPr>
        <w:widowControl w:val="0"/>
        <w:ind w:left="-142" w:firstLine="567"/>
        <w:jc w:val="both"/>
        <w:rPr>
          <w:sz w:val="28"/>
          <w:szCs w:val="28"/>
        </w:rPr>
      </w:pPr>
    </w:p>
    <w:p w:rsidR="009167B1" w:rsidRDefault="000F7BF9">
      <w:pPr>
        <w:widowControl w:val="0"/>
        <w:ind w:left="-142" w:firstLine="567"/>
        <w:jc w:val="both"/>
      </w:pPr>
      <w:r>
        <w:rPr>
          <w:sz w:val="28"/>
          <w:szCs w:val="28"/>
        </w:rPr>
        <w:t>8.При реализации программы возможно возникновение следующих риско</w:t>
      </w:r>
      <w:r>
        <w:rPr>
          <w:sz w:val="28"/>
          <w:szCs w:val="28"/>
        </w:rPr>
        <w:lastRenderedPageBreak/>
        <w:t>в, которые могут препятствовать достиже</w:t>
      </w:r>
      <w:r>
        <w:rPr>
          <w:sz w:val="28"/>
          <w:szCs w:val="28"/>
        </w:rPr>
        <w:t>нию запланированных результатов: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риски связанные с изменением бюджетного и налогового законодательства; финансовые риски, связанные с финансированием программы в неполном  объеме за счет бюджетных средств, изменением уровня инфляции, кризисными явлениями.</w:t>
      </w:r>
    </w:p>
    <w:p w:rsidR="009167B1" w:rsidRDefault="009167B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9167B1" w:rsidRDefault="000F7B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5. «Ресурсное обеспечение муниципальной программы»</w:t>
      </w:r>
    </w:p>
    <w:p w:rsidR="009167B1" w:rsidRDefault="009167B1">
      <w:pPr>
        <w:jc w:val="center"/>
        <w:rPr>
          <w:sz w:val="28"/>
          <w:szCs w:val="28"/>
        </w:rPr>
      </w:pPr>
    </w:p>
    <w:p w:rsidR="009167B1" w:rsidRDefault="000F7BF9">
      <w:pPr>
        <w:jc w:val="both"/>
      </w:pPr>
      <w:r>
        <w:rPr>
          <w:sz w:val="28"/>
          <w:szCs w:val="28"/>
        </w:rPr>
        <w:tab/>
        <w:t>9.Финансирование данной программы осуществляется в объёмах, установленных решением Собрания депутатов Чебаркульского городского округа о бюджете на очередной финансовый год и плановый период, по</w:t>
      </w:r>
      <w:r>
        <w:rPr>
          <w:sz w:val="28"/>
          <w:szCs w:val="28"/>
        </w:rPr>
        <w:t>длежащих корректировке с учетом выделенных объемов финансирования из бюджетов  других уровней. </w:t>
      </w:r>
      <w:r>
        <w:rPr>
          <w:sz w:val="28"/>
          <w:szCs w:val="28"/>
        </w:rPr>
        <w:tab/>
        <w:t xml:space="preserve">Общий объем финансирования Программы – </w:t>
      </w:r>
      <w:r>
        <w:rPr>
          <w:color w:val="FF0000"/>
          <w:sz w:val="28"/>
          <w:szCs w:val="28"/>
        </w:rPr>
        <w:t xml:space="preserve">1 676 000 рублей, в том числе: в 2024 году – 558 000 рублей; в 2025 году – 559 000 рублей, в 2026 году – 559 000 рублей. </w:t>
      </w:r>
      <w:r>
        <w:rPr>
          <w:sz w:val="28"/>
          <w:szCs w:val="28"/>
        </w:rPr>
        <w:t>Финансирование осуществляется за счет средств бюджета Чебаркульского городского округа.</w:t>
      </w:r>
    </w:p>
    <w:tbl>
      <w:tblPr>
        <w:tblW w:w="1038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1958"/>
        <w:gridCol w:w="1844"/>
        <w:gridCol w:w="995"/>
        <w:gridCol w:w="1842"/>
        <w:gridCol w:w="955"/>
        <w:gridCol w:w="1276"/>
        <w:gridCol w:w="1032"/>
      </w:tblGrid>
      <w:tr w:rsidR="009167B1">
        <w:trPr>
          <w:trHeight w:val="61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hanging="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</w:t>
            </w:r>
          </w:p>
          <w:p w:rsidR="009167B1" w:rsidRDefault="000F7BF9">
            <w:pPr>
              <w:pStyle w:val="ConsPlusNormal0"/>
              <w:ind w:hanging="62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Бюджет-ной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 ресурсного обеспечения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финансирования,</w:t>
            </w:r>
          </w:p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9167B1">
        <w:trPr>
          <w:trHeight w:val="38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</w:tr>
      <w:tr w:rsidR="009167B1">
        <w:trPr>
          <w:trHeight w:val="28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tabs>
                <w:tab w:val="left" w:pos="7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167B1">
        <w:trPr>
          <w:trHeight w:val="34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167B1" w:rsidRDefault="009167B1">
            <w:pPr>
              <w:rPr>
                <w:color w:val="000000"/>
                <w:sz w:val="24"/>
                <w:szCs w:val="24"/>
              </w:rPr>
            </w:pPr>
          </w:p>
          <w:p w:rsidR="009167B1" w:rsidRDefault="000F7BF9">
            <w:r>
              <w:t>1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 на курсах повышения квалификаци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 72 часов)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4350104360079020244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9167B1">
        <w:trPr>
          <w:trHeight w:val="60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1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4500106360079020244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</w:tr>
      <w:tr w:rsidR="009167B1">
        <w:trPr>
          <w:trHeight w:val="58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44701133600790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2000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9167B1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2000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9167B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4410709360079020244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4461006360079020244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4430804360079020244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44005053600079020244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4451105360079020244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депутатов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4340103360079020244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Контрольно-счетный комитет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43901063600779020244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</w:tbl>
    <w:p w:rsidR="009167B1" w:rsidRDefault="009167B1">
      <w:pPr>
        <w:rPr>
          <w:sz w:val="24"/>
          <w:szCs w:val="24"/>
        </w:rPr>
      </w:pPr>
    </w:p>
    <w:tbl>
      <w:tblPr>
        <w:tblW w:w="10632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1958"/>
        <w:gridCol w:w="1844"/>
        <w:gridCol w:w="995"/>
        <w:gridCol w:w="1522"/>
        <w:gridCol w:w="1275"/>
        <w:gridCol w:w="1276"/>
        <w:gridCol w:w="1276"/>
      </w:tblGrid>
      <w:tr w:rsidR="009167B1">
        <w:trPr>
          <w:trHeight w:val="34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167B1" w:rsidRDefault="009167B1">
            <w:pPr>
              <w:rPr>
                <w:color w:val="000000"/>
                <w:sz w:val="24"/>
                <w:szCs w:val="24"/>
              </w:rPr>
            </w:pPr>
          </w:p>
          <w:p w:rsidR="009167B1" w:rsidRDefault="000F7BF9">
            <w:r>
              <w:t>2</w:t>
            </w:r>
          </w:p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ежегодной диспансеризации муниципальных служащих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4350104360079021244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162000</w:t>
            </w:r>
          </w:p>
        </w:tc>
      </w:tr>
      <w:tr w:rsidR="009167B1">
        <w:trPr>
          <w:trHeight w:val="60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1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45001063600790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5000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5000</w:t>
            </w:r>
          </w:p>
        </w:tc>
      </w:tr>
      <w:tr w:rsidR="009167B1">
        <w:trPr>
          <w:trHeight w:val="58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муниципальной 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4470113360079021244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4410709360079021244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4461006360079021244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4430804360079020244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44005053600079021244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4451105360079021244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депутатов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43401033600779021244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Контрольно-счетный комитет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43901063600779021244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</w:tr>
      <w:tr w:rsidR="009167B1">
        <w:trPr>
          <w:trHeight w:val="42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/>
                <w:color w:val="548DD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558000,00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559000,00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559000,00</w:t>
            </w:r>
          </w:p>
        </w:tc>
      </w:tr>
      <w:tr w:rsidR="009167B1">
        <w:trPr>
          <w:trHeight w:val="59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67B1" w:rsidRDefault="000F7BF9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167B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558000,00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559000,00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559000,00</w:t>
            </w:r>
          </w:p>
        </w:tc>
      </w:tr>
    </w:tbl>
    <w:p w:rsidR="009167B1" w:rsidRDefault="009167B1">
      <w:pPr>
        <w:rPr>
          <w:sz w:val="24"/>
          <w:szCs w:val="24"/>
        </w:rPr>
      </w:pPr>
    </w:p>
    <w:p w:rsidR="009167B1" w:rsidRDefault="009167B1">
      <w:pPr>
        <w:rPr>
          <w:sz w:val="24"/>
          <w:szCs w:val="24"/>
        </w:rPr>
      </w:pPr>
    </w:p>
    <w:p w:rsidR="009167B1" w:rsidRDefault="000F7BF9">
      <w:pPr>
        <w:jc w:val="center"/>
      </w:pPr>
      <w:r>
        <w:rPr>
          <w:color w:val="000000"/>
          <w:sz w:val="28"/>
          <w:szCs w:val="28"/>
        </w:rPr>
        <w:t>Раздел 6. «Организация управления и механизм реализации муниципальной  программы»</w:t>
      </w:r>
    </w:p>
    <w:p w:rsidR="009167B1" w:rsidRDefault="009167B1">
      <w:pPr>
        <w:jc w:val="center"/>
        <w:rPr>
          <w:color w:val="000000"/>
          <w:sz w:val="28"/>
          <w:szCs w:val="28"/>
        </w:rPr>
      </w:pP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Текущее управление реализацией Программы осуществляется отделом муниципальной службы, кадровой работы и противодействия коррупции администрации Чебаркульского городского округа, который выполняет следующие функции: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разработку в пределах с</w:t>
      </w:r>
      <w:r>
        <w:rPr>
          <w:rFonts w:ascii="Times New Roman" w:hAnsi="Times New Roman" w:cs="Times New Roman"/>
          <w:sz w:val="28"/>
          <w:szCs w:val="28"/>
        </w:rPr>
        <w:t>воих полномочий проектов нормативных правовых актов, необходимых для выполнения Программы;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подготавливает ежегодно доклад о ходе реализации Программы для представления Главе Чебаркульского городского округа;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осуществляет ведение ежеквартальной отчетн</w:t>
      </w:r>
      <w:r>
        <w:rPr>
          <w:rFonts w:ascii="Times New Roman" w:hAnsi="Times New Roman" w:cs="Times New Roman"/>
          <w:sz w:val="28"/>
          <w:szCs w:val="28"/>
        </w:rPr>
        <w:t>ости по реализации Программы;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подготавливает ежегодно в установленном порядке предложения по уточнению перечня программных мероприятий на очередной финансовый год, уточняет затраты по программным мероприятиям, а также механизм реализации Программы;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 с</w:t>
      </w:r>
      <w:r>
        <w:rPr>
          <w:rFonts w:ascii="Times New Roman" w:hAnsi="Times New Roman" w:cs="Times New Roman"/>
          <w:sz w:val="28"/>
          <w:szCs w:val="28"/>
        </w:rPr>
        <w:t xml:space="preserve"> учетом хода реализации Программы в текущем году уточняет объем средств, необходимых для финансирования Программы в очередном финансовом году, и представляет в установленном порядке проекты бюджетных заявок по Программе, предлагаемой к финансированию за сч</w:t>
      </w:r>
      <w:r>
        <w:rPr>
          <w:rFonts w:ascii="Times New Roman" w:hAnsi="Times New Roman" w:cs="Times New Roman"/>
          <w:sz w:val="28"/>
          <w:szCs w:val="28"/>
        </w:rPr>
        <w:t>ет средств местного бюджета в очередном финансовом году Главе Чебаркульского городского округа;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 согласовывает с основными участниками целевой Программы возможные сроки выполнения мероприятий, объемы и источники финансирования;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реализацией исполнителями мероприятий Программы,  обеспечивает эффективное использование средств, выделяемых на ее реализацию.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из местного бюджета осуществляется в соответствии с решением Собрания депутатов Чебаркульского городс</w:t>
      </w:r>
      <w:r>
        <w:rPr>
          <w:rFonts w:ascii="Times New Roman" w:hAnsi="Times New Roman" w:cs="Times New Roman"/>
          <w:sz w:val="28"/>
          <w:szCs w:val="28"/>
        </w:rPr>
        <w:t>кого округа "О бюджете МО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округ" на очередной финансовый год. 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с учетом выделяемых на ее реализацию финансовых средств отделом муниципальной службы, кадровой работы и противодействия коррупции уточняются затраты по меропри</w:t>
      </w:r>
      <w:r>
        <w:rPr>
          <w:rFonts w:ascii="Times New Roman" w:hAnsi="Times New Roman" w:cs="Times New Roman"/>
          <w:sz w:val="28"/>
          <w:szCs w:val="28"/>
        </w:rPr>
        <w:t>ятиям Программы.</w:t>
      </w:r>
    </w:p>
    <w:p w:rsidR="009167B1" w:rsidRDefault="009167B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7B1" w:rsidRDefault="000F7BF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7. «Ожидаемые результаты реализации муниципальной программы с указанием показателей (индикаторов)»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12. Достижение плановых индикативных показателей настоящей программы зависит от объемов финансирования и реализации мероприятий. </w:t>
      </w:r>
    </w:p>
    <w:p w:rsidR="009167B1" w:rsidRDefault="000F7BF9">
      <w:pPr>
        <w:ind w:firstLine="709"/>
        <w:jc w:val="both"/>
      </w:pPr>
      <w:r>
        <w:rPr>
          <w:sz w:val="28"/>
          <w:szCs w:val="28"/>
        </w:rPr>
        <w:t>13. Оценка эффективности реализации программы осуществляется исходя из соотношения плановых индикативных показателей ее эффективности к показателям непосредственных результатов реализации программных мероприятий.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14. Последовательная реализация Программы п</w:t>
      </w:r>
      <w:r>
        <w:rPr>
          <w:rFonts w:ascii="Times New Roman" w:hAnsi="Times New Roman" w:cs="Times New Roman"/>
          <w:sz w:val="28"/>
          <w:szCs w:val="28"/>
        </w:rPr>
        <w:t>озволит:</w:t>
      </w:r>
    </w:p>
    <w:p w:rsidR="009167B1" w:rsidRDefault="000F7BF9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повысить эффективность и результативность профессиональной служебной деятельности муниципальных служащих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округе;</w:t>
      </w:r>
    </w:p>
    <w:p w:rsidR="009167B1" w:rsidRDefault="000F7BF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систему непрерывного образования муниципальных служащих.</w:t>
      </w:r>
    </w:p>
    <w:p w:rsidR="009167B1" w:rsidRDefault="009167B1">
      <w:pPr>
        <w:ind w:firstLine="720"/>
        <w:jc w:val="both"/>
        <w:rPr>
          <w:sz w:val="28"/>
          <w:szCs w:val="28"/>
        </w:rPr>
      </w:pPr>
    </w:p>
    <w:tbl>
      <w:tblPr>
        <w:tblW w:w="9462" w:type="dxa"/>
        <w:tblInd w:w="-111" w:type="dxa"/>
        <w:tblLayout w:type="fixed"/>
        <w:tblLook w:val="04A0"/>
      </w:tblPr>
      <w:tblGrid>
        <w:gridCol w:w="532"/>
        <w:gridCol w:w="2126"/>
        <w:gridCol w:w="1134"/>
        <w:gridCol w:w="850"/>
        <w:gridCol w:w="851"/>
        <w:gridCol w:w="992"/>
        <w:gridCol w:w="1134"/>
        <w:gridCol w:w="1843"/>
      </w:tblGrid>
      <w:tr w:rsidR="009167B1">
        <w:trPr>
          <w:trHeight w:val="159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Базовое значение показателя</w:t>
            </w:r>
          </w:p>
          <w:p w:rsidR="009167B1" w:rsidRDefault="000F7BF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 начало реализации муниципальной 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Планируемое значение показателя на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Планируемое значение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показате-ля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 2025год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Планируемое значение показателя на 2026 год</w:t>
            </w:r>
          </w:p>
        </w:tc>
      </w:tr>
      <w:tr w:rsidR="009167B1">
        <w:trPr>
          <w:trHeight w:val="695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</w:t>
            </w:r>
          </w:p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2022г.</w:t>
            </w:r>
          </w:p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67B1" w:rsidRDefault="009167B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0F7BF9">
            <w:pPr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  <w:p w:rsidR="009167B1" w:rsidRDefault="000F7BF9">
            <w:pPr>
              <w:rPr>
                <w:color w:val="000000"/>
              </w:rPr>
            </w:pPr>
            <w:r>
              <w:rPr>
                <w:color w:val="000000"/>
              </w:rPr>
              <w:t>2023г.</w:t>
            </w:r>
          </w:p>
          <w:p w:rsidR="009167B1" w:rsidRDefault="009167B1">
            <w:pPr>
              <w:rPr>
                <w:color w:val="000000"/>
              </w:rPr>
            </w:pPr>
          </w:p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1" w:rsidRDefault="009167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67B1">
        <w:trPr>
          <w:trHeight w:val="3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67B1">
        <w:trPr>
          <w:trHeight w:val="3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9167B1">
        <w:trPr>
          <w:trHeight w:val="3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 на включение  в кадровый резерв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9167B1">
        <w:trPr>
          <w:trHeight w:val="3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аттестаций муниципальных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9167B1">
        <w:trPr>
          <w:trHeight w:val="3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 муниципальных служащих, прошедших диспансеризацию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color w:val="548DD4"/>
              </w:rPr>
            </w:pPr>
            <w:r>
              <w:rPr>
                <w:rFonts w:ascii="Times New Roman" w:hAnsi="Times New Roman" w:cs="Times New Roman"/>
                <w:color w:val="548DD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548DD4"/>
                <w:lang w:val="en-US"/>
              </w:rPr>
            </w:pPr>
            <w:r>
              <w:rPr>
                <w:rFonts w:ascii="Times New Roman" w:hAnsi="Times New Roman" w:cs="Times New Roman"/>
                <w:color w:val="548DD4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B1" w:rsidRDefault="000F7BF9">
            <w:pPr>
              <w:pStyle w:val="ConsPlusNormal0"/>
              <w:ind w:firstLine="3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</w:tbl>
    <w:p w:rsidR="009167B1" w:rsidRDefault="009167B1">
      <w:pPr>
        <w:ind w:firstLine="720"/>
        <w:jc w:val="both"/>
        <w:rPr>
          <w:sz w:val="24"/>
          <w:szCs w:val="24"/>
        </w:rPr>
      </w:pPr>
    </w:p>
    <w:p w:rsidR="009167B1" w:rsidRDefault="000F7BF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8. «Финансово-экономическое обоснование </w:t>
      </w:r>
    </w:p>
    <w:p w:rsidR="009167B1" w:rsidRDefault="000F7BF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программы»</w:t>
      </w:r>
    </w:p>
    <w:p w:rsidR="009167B1" w:rsidRDefault="009167B1">
      <w:pPr>
        <w:rPr>
          <w:color w:val="000000"/>
          <w:sz w:val="28"/>
          <w:szCs w:val="28"/>
        </w:rPr>
      </w:pPr>
    </w:p>
    <w:p w:rsidR="009167B1" w:rsidRDefault="000F7BF9">
      <w:pPr>
        <w:pStyle w:val="ConsPlusNormal0"/>
        <w:ind w:firstLine="357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реализацию мероприятий программы направляются денежные средства из городского бюджета.</w:t>
      </w:r>
    </w:p>
    <w:p w:rsidR="009167B1" w:rsidRDefault="000F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Выделенные на реализацию программы денежные средства направляются на финансирование мероприятий программы по оказанию финансовой поддержки для создания условий э</w:t>
      </w:r>
      <w:r>
        <w:rPr>
          <w:sz w:val="28"/>
          <w:szCs w:val="28"/>
        </w:rPr>
        <w:t xml:space="preserve">ффективного развития и совершенствования муниципальной службы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округе.</w:t>
      </w:r>
    </w:p>
    <w:p w:rsidR="009167B1" w:rsidRDefault="000F7BF9">
      <w:pPr>
        <w:jc w:val="both"/>
      </w:pPr>
      <w:r>
        <w:rPr>
          <w:sz w:val="28"/>
          <w:szCs w:val="28"/>
        </w:rPr>
        <w:tab/>
        <w:t>Объемы оказанных услуг запланированы, исходя из размера бюджетных ассигнований и средней цены на обучение.</w:t>
      </w:r>
    </w:p>
    <w:p w:rsidR="009167B1" w:rsidRDefault="000F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Отбор организаций проводится в соответствии с требо</w:t>
      </w:r>
      <w:r>
        <w:rPr>
          <w:sz w:val="28"/>
          <w:szCs w:val="28"/>
        </w:rPr>
        <w:t>ваниями законодательства на размещение  заказов с проведением конкурсных и иных процедур.</w:t>
      </w:r>
    </w:p>
    <w:p w:rsidR="009167B1" w:rsidRDefault="000F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Объемы финансирования носят прогнозный характер и полежат корректировке, исходя из возможностей бюджета городского округа.</w:t>
      </w:r>
    </w:p>
    <w:p w:rsidR="009167B1" w:rsidRDefault="009167B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7B1" w:rsidRDefault="000F7BF9">
      <w:pPr>
        <w:pStyle w:val="ConsPlusNormal0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Раздел.9 Перечень и краткое описание подп</w:t>
      </w:r>
      <w:r>
        <w:rPr>
          <w:rFonts w:ascii="Times New Roman" w:hAnsi="Times New Roman" w:cs="Times New Roman"/>
          <w:sz w:val="28"/>
          <w:szCs w:val="28"/>
        </w:rPr>
        <w:t>рограмм</w:t>
      </w:r>
    </w:p>
    <w:p w:rsidR="009167B1" w:rsidRDefault="009167B1">
      <w:pPr>
        <w:jc w:val="both"/>
        <w:rPr>
          <w:sz w:val="28"/>
          <w:szCs w:val="28"/>
        </w:rPr>
      </w:pPr>
    </w:p>
    <w:p w:rsidR="009167B1" w:rsidRDefault="000F7BF9">
      <w:pPr>
        <w:jc w:val="both"/>
      </w:pPr>
      <w:r>
        <w:rPr>
          <w:sz w:val="28"/>
          <w:szCs w:val="28"/>
        </w:rPr>
        <w:t>16. Настоящей программой не предусмотрена реализация подпрограмм.</w:t>
      </w:r>
    </w:p>
    <w:p w:rsidR="009167B1" w:rsidRDefault="009167B1">
      <w:pPr>
        <w:jc w:val="center"/>
        <w:rPr>
          <w:sz w:val="28"/>
          <w:szCs w:val="28"/>
        </w:rPr>
      </w:pPr>
    </w:p>
    <w:p w:rsidR="009167B1" w:rsidRDefault="000F7B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Раздел. 10. Перечень и краткое описание проектов</w:t>
      </w:r>
    </w:p>
    <w:p w:rsidR="009167B1" w:rsidRDefault="009167B1">
      <w:pPr>
        <w:jc w:val="center"/>
        <w:rPr>
          <w:sz w:val="28"/>
          <w:szCs w:val="28"/>
        </w:rPr>
      </w:pPr>
    </w:p>
    <w:p w:rsidR="009167B1" w:rsidRDefault="000F7BF9">
      <w:pPr>
        <w:jc w:val="both"/>
      </w:pPr>
      <w:r>
        <w:rPr>
          <w:sz w:val="28"/>
          <w:szCs w:val="28"/>
        </w:rPr>
        <w:t xml:space="preserve">17. Национальные и региональные проекты по развитию муниципальной службы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 программой не предусмотр</w:t>
      </w:r>
      <w:r>
        <w:rPr>
          <w:sz w:val="28"/>
          <w:szCs w:val="28"/>
        </w:rPr>
        <w:t>ены.</w:t>
      </w:r>
    </w:p>
    <w:p w:rsidR="009167B1" w:rsidRDefault="009167B1">
      <w:pPr>
        <w:ind w:firstLine="720"/>
        <w:jc w:val="center"/>
        <w:rPr>
          <w:sz w:val="28"/>
          <w:szCs w:val="28"/>
        </w:rPr>
      </w:pPr>
    </w:p>
    <w:sectPr w:rsidR="009167B1" w:rsidSect="009167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20" w:footer="355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F9" w:rsidRDefault="000F7BF9">
      <w:r>
        <w:separator/>
      </w:r>
    </w:p>
  </w:endnote>
  <w:endnote w:type="continuationSeparator" w:id="0">
    <w:p w:rsidR="000F7BF9" w:rsidRDefault="000F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altName w:val="Wingdings 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1" w:rsidRDefault="009167B1">
    <w:pPr>
      <w:pStyle w:val="Footer"/>
      <w:jc w:val="right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1" w:rsidRDefault="009167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F9" w:rsidRDefault="000F7BF9">
      <w:r>
        <w:separator/>
      </w:r>
    </w:p>
  </w:footnote>
  <w:footnote w:type="continuationSeparator" w:id="0">
    <w:p w:rsidR="000F7BF9" w:rsidRDefault="000F7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1" w:rsidRDefault="009167B1">
    <w:pPr>
      <w:pStyle w:val="Header"/>
      <w:jc w:val="center"/>
    </w:pPr>
    <w:r>
      <w:fldChar w:fldCharType="begin"/>
    </w:r>
    <w:r w:rsidR="000F7BF9">
      <w:instrText xml:space="preserve"> PAGE </w:instrText>
    </w:r>
    <w:r>
      <w:fldChar w:fldCharType="separate"/>
    </w:r>
    <w:r w:rsidR="008D693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1" w:rsidRDefault="009167B1">
    <w:pPr>
      <w:pStyle w:val="Header"/>
      <w:jc w:val="center"/>
    </w:pPr>
  </w:p>
  <w:p w:rsidR="009167B1" w:rsidRDefault="00916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2A7"/>
    <w:multiLevelType w:val="hybridMultilevel"/>
    <w:tmpl w:val="1F929BEC"/>
    <w:lvl w:ilvl="0" w:tplc="4422229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3EDE3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BC4D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FE96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9248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0E2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BE38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44A5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6C2C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A411984"/>
    <w:multiLevelType w:val="hybridMultilevel"/>
    <w:tmpl w:val="2A1CCD96"/>
    <w:lvl w:ilvl="0" w:tplc="9EEC6AF6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CEFD3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4182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BA72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BF0BF1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9A57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F06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3E8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C82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7B1"/>
    <w:rsid w:val="000F7BF9"/>
    <w:rsid w:val="008D6936"/>
    <w:rsid w:val="0091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B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67B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9167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67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167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67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167B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9167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67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167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67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167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67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167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67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167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167B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4">
    <w:name w:val="No Spacing"/>
    <w:qFormat/>
    <w:rsid w:val="009167B1"/>
    <w:pPr>
      <w:ind w:firstLine="709"/>
      <w:jc w:val="both"/>
    </w:pPr>
    <w:rPr>
      <w:rFonts w:eastAsia="Times New Roman" w:cs="Times New Roman"/>
      <w:sz w:val="28"/>
      <w:szCs w:val="22"/>
      <w:lang w:val="ru-RU" w:bidi="ar-SA"/>
    </w:rPr>
  </w:style>
  <w:style w:type="paragraph" w:styleId="a5">
    <w:name w:val="Title"/>
    <w:basedOn w:val="a"/>
    <w:next w:val="a"/>
    <w:link w:val="1"/>
    <w:uiPriority w:val="10"/>
    <w:qFormat/>
    <w:rsid w:val="009167B1"/>
    <w:pPr>
      <w:spacing w:before="300" w:after="200"/>
      <w:contextualSpacing/>
    </w:pPr>
    <w:rPr>
      <w:sz w:val="48"/>
      <w:szCs w:val="48"/>
    </w:rPr>
  </w:style>
  <w:style w:type="character" w:customStyle="1" w:styleId="1">
    <w:name w:val="Название Знак1"/>
    <w:link w:val="a5"/>
    <w:uiPriority w:val="10"/>
    <w:rsid w:val="009167B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7B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9167B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167B1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167B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7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7B1"/>
    <w:rPr>
      <w:i/>
    </w:rPr>
  </w:style>
  <w:style w:type="character" w:customStyle="1" w:styleId="HeaderChar">
    <w:name w:val="Header Char"/>
    <w:link w:val="Header"/>
    <w:uiPriority w:val="99"/>
    <w:rsid w:val="009167B1"/>
  </w:style>
  <w:style w:type="character" w:customStyle="1" w:styleId="FooterChar">
    <w:name w:val="Footer Char"/>
    <w:link w:val="Footer"/>
    <w:uiPriority w:val="99"/>
    <w:rsid w:val="009167B1"/>
  </w:style>
  <w:style w:type="character" w:customStyle="1" w:styleId="CaptionChar">
    <w:name w:val="Caption Char"/>
    <w:link w:val="Footer"/>
    <w:uiPriority w:val="99"/>
    <w:rsid w:val="009167B1"/>
  </w:style>
  <w:style w:type="table" w:styleId="aa">
    <w:name w:val="Table Grid"/>
    <w:uiPriority w:val="59"/>
    <w:rsid w:val="009167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67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67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67B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6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67B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6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67B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67B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67B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67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Текст сноски Знак1"/>
    <w:link w:val="ab"/>
    <w:uiPriority w:val="99"/>
    <w:rsid w:val="009167B1"/>
    <w:rPr>
      <w:sz w:val="18"/>
    </w:rPr>
  </w:style>
  <w:style w:type="character" w:styleId="ac">
    <w:name w:val="footnote reference"/>
    <w:uiPriority w:val="99"/>
    <w:unhideWhenUsed/>
    <w:rsid w:val="009167B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167B1"/>
  </w:style>
  <w:style w:type="character" w:customStyle="1" w:styleId="ae">
    <w:name w:val="Текст концевой сноски Знак"/>
    <w:link w:val="ad"/>
    <w:uiPriority w:val="99"/>
    <w:rsid w:val="009167B1"/>
    <w:rPr>
      <w:sz w:val="20"/>
    </w:rPr>
  </w:style>
  <w:style w:type="character" w:styleId="af">
    <w:name w:val="endnote reference"/>
    <w:uiPriority w:val="99"/>
    <w:semiHidden/>
    <w:unhideWhenUsed/>
    <w:rsid w:val="009167B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167B1"/>
    <w:pPr>
      <w:spacing w:after="57"/>
    </w:pPr>
  </w:style>
  <w:style w:type="paragraph" w:styleId="22">
    <w:name w:val="toc 2"/>
    <w:basedOn w:val="a"/>
    <w:next w:val="a"/>
    <w:uiPriority w:val="39"/>
    <w:unhideWhenUsed/>
    <w:rsid w:val="009167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67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67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67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67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67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67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67B1"/>
    <w:pPr>
      <w:spacing w:after="57"/>
      <w:ind w:left="2268"/>
    </w:pPr>
  </w:style>
  <w:style w:type="paragraph" w:styleId="af0">
    <w:name w:val="TOC Heading"/>
    <w:uiPriority w:val="39"/>
    <w:unhideWhenUsed/>
    <w:rsid w:val="009167B1"/>
  </w:style>
  <w:style w:type="paragraph" w:styleId="af1">
    <w:name w:val="table of figures"/>
    <w:basedOn w:val="a"/>
    <w:next w:val="a"/>
    <w:uiPriority w:val="99"/>
    <w:unhideWhenUsed/>
    <w:rsid w:val="009167B1"/>
  </w:style>
  <w:style w:type="paragraph" w:customStyle="1" w:styleId="Heading1">
    <w:name w:val="Heading 1"/>
    <w:basedOn w:val="a"/>
    <w:next w:val="a"/>
    <w:link w:val="Heading1Char"/>
    <w:qFormat/>
    <w:rsid w:val="009167B1"/>
    <w:pPr>
      <w:keepNext/>
      <w:numPr>
        <w:numId w:val="1"/>
      </w:numPr>
      <w:spacing w:line="220" w:lineRule="exact"/>
      <w:jc w:val="center"/>
      <w:outlineLvl w:val="0"/>
    </w:pPr>
    <w:rPr>
      <w:rFonts w:ascii="AG Souvenir;Times New Roman" w:hAnsi="AG Souvenir;Times New Roman" w:cs="AG Souvenir;Times New Roman"/>
      <w:b/>
      <w:spacing w:val="38"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9167B1"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customStyle="1" w:styleId="Heading5">
    <w:name w:val="Heading 5"/>
    <w:basedOn w:val="a"/>
    <w:next w:val="a"/>
    <w:link w:val="Heading5Char"/>
    <w:qFormat/>
    <w:rsid w:val="009167B1"/>
    <w:pPr>
      <w:keepNext/>
      <w:numPr>
        <w:ilvl w:val="4"/>
        <w:numId w:val="1"/>
      </w:numPr>
      <w:tabs>
        <w:tab w:val="left" w:pos="284"/>
      </w:tabs>
      <w:jc w:val="both"/>
      <w:outlineLvl w:val="4"/>
    </w:pPr>
    <w:rPr>
      <w:sz w:val="28"/>
    </w:rPr>
  </w:style>
  <w:style w:type="character" w:customStyle="1" w:styleId="WW8Num1z0">
    <w:name w:val="WW8Num1z0"/>
    <w:qFormat/>
    <w:rsid w:val="009167B1"/>
    <w:rPr>
      <w:rFonts w:ascii="Symbol" w:hAnsi="Symbol" w:cs="Symbol"/>
    </w:rPr>
  </w:style>
  <w:style w:type="character" w:customStyle="1" w:styleId="WW8Num3z0">
    <w:name w:val="WW8Num3z0"/>
    <w:qFormat/>
    <w:rsid w:val="009167B1"/>
  </w:style>
  <w:style w:type="character" w:customStyle="1" w:styleId="WW8Num3z1">
    <w:name w:val="WW8Num3z1"/>
    <w:qFormat/>
    <w:rsid w:val="009167B1"/>
    <w:rPr>
      <w:color w:val="FF0000"/>
    </w:rPr>
  </w:style>
  <w:style w:type="character" w:customStyle="1" w:styleId="WW8Num5z0">
    <w:name w:val="WW8Num5z0"/>
    <w:qFormat/>
    <w:rsid w:val="009167B1"/>
    <w:rPr>
      <w:lang w:val="ru-RU"/>
    </w:rPr>
  </w:style>
  <w:style w:type="character" w:customStyle="1" w:styleId="50">
    <w:name w:val="Заголовок 5 Знак"/>
    <w:qFormat/>
    <w:rsid w:val="009167B1"/>
    <w:rPr>
      <w:sz w:val="28"/>
      <w:lang w:val="ru-RU" w:bidi="ar-SA"/>
    </w:rPr>
  </w:style>
  <w:style w:type="character" w:customStyle="1" w:styleId="af2">
    <w:name w:val="Основной текст Знак"/>
    <w:qFormat/>
    <w:rsid w:val="009167B1"/>
    <w:rPr>
      <w:sz w:val="28"/>
      <w:lang w:val="ru-RU" w:bidi="ar-SA"/>
    </w:rPr>
  </w:style>
  <w:style w:type="character" w:customStyle="1" w:styleId="af3">
    <w:name w:val="Нижний колонтитул Знак"/>
    <w:qFormat/>
    <w:rsid w:val="009167B1"/>
    <w:rPr>
      <w:lang w:val="ru-RU" w:bidi="ar-SA"/>
    </w:rPr>
  </w:style>
  <w:style w:type="character" w:customStyle="1" w:styleId="af4">
    <w:name w:val="Верхний колонтитул Знак"/>
    <w:qFormat/>
    <w:rsid w:val="009167B1"/>
    <w:rPr>
      <w:lang w:val="ru-RU" w:bidi="ar-SA"/>
    </w:rPr>
  </w:style>
  <w:style w:type="character" w:customStyle="1" w:styleId="PageNumber">
    <w:name w:val="Page Number"/>
    <w:basedOn w:val="a0"/>
    <w:rsid w:val="009167B1"/>
  </w:style>
  <w:style w:type="character" w:customStyle="1" w:styleId="af5">
    <w:name w:val="Текст сноски Знак"/>
    <w:qFormat/>
    <w:rsid w:val="009167B1"/>
    <w:rPr>
      <w:sz w:val="24"/>
      <w:lang w:val="ru-RU" w:bidi="ar-SA"/>
    </w:rPr>
  </w:style>
  <w:style w:type="character" w:customStyle="1" w:styleId="af6">
    <w:name w:val="Название Знак"/>
    <w:qFormat/>
    <w:rsid w:val="009167B1"/>
    <w:rPr>
      <w:b/>
      <w:sz w:val="32"/>
      <w:lang w:val="ru-RU" w:bidi="ar-SA"/>
    </w:rPr>
  </w:style>
  <w:style w:type="character" w:customStyle="1" w:styleId="23">
    <w:name w:val="Основной текст 2 Знак"/>
    <w:qFormat/>
    <w:rsid w:val="009167B1"/>
    <w:rPr>
      <w:lang w:val="ru-RU" w:bidi="ar-SA"/>
    </w:rPr>
  </w:style>
  <w:style w:type="character" w:customStyle="1" w:styleId="30">
    <w:name w:val="Основной текст 3 Знак"/>
    <w:qFormat/>
    <w:rsid w:val="009167B1"/>
    <w:rPr>
      <w:sz w:val="16"/>
      <w:szCs w:val="16"/>
      <w:lang w:val="ru-RU" w:bidi="ar-SA"/>
    </w:rPr>
  </w:style>
  <w:style w:type="character" w:customStyle="1" w:styleId="24">
    <w:name w:val="Основной текст с отступом 2 Знак"/>
    <w:qFormat/>
    <w:rsid w:val="009167B1"/>
    <w:rPr>
      <w:rFonts w:ascii="Calibri" w:hAnsi="Calibri" w:cs="Calibri"/>
      <w:sz w:val="22"/>
      <w:szCs w:val="22"/>
      <w:lang w:val="ru-RU" w:bidi="ar-SA"/>
    </w:rPr>
  </w:style>
  <w:style w:type="character" w:customStyle="1" w:styleId="31">
    <w:name w:val="Основной текст с отступом 3 Знак"/>
    <w:qFormat/>
    <w:rsid w:val="009167B1"/>
    <w:rPr>
      <w:sz w:val="16"/>
      <w:szCs w:val="16"/>
      <w:lang w:val="ru-RU" w:bidi="ar-SA"/>
    </w:rPr>
  </w:style>
  <w:style w:type="character" w:customStyle="1" w:styleId="af7">
    <w:name w:val="Текст выноски Знак"/>
    <w:qFormat/>
    <w:rsid w:val="009167B1"/>
    <w:rPr>
      <w:rFonts w:ascii="Tahoma" w:hAnsi="Tahoma" w:cs="Tahoma"/>
      <w:sz w:val="16"/>
      <w:szCs w:val="16"/>
      <w:lang w:val="ru-RU" w:bidi="ar-SA"/>
    </w:rPr>
  </w:style>
  <w:style w:type="character" w:customStyle="1" w:styleId="af8">
    <w:name w:val="Без интервала Знак"/>
    <w:qFormat/>
    <w:rsid w:val="009167B1"/>
    <w:rPr>
      <w:sz w:val="28"/>
      <w:szCs w:val="22"/>
      <w:lang w:val="ru-RU" w:bidi="ar-SA"/>
    </w:rPr>
  </w:style>
  <w:style w:type="character" w:styleId="af9">
    <w:name w:val="Hyperlink"/>
    <w:rsid w:val="009167B1"/>
    <w:rPr>
      <w:rFonts w:ascii="Arial" w:hAnsi="Arial" w:cs="Arial"/>
      <w:strike w:val="0"/>
      <w:color w:val="3560A7"/>
      <w:sz w:val="20"/>
      <w:szCs w:val="20"/>
      <w:u w:val="none"/>
    </w:rPr>
  </w:style>
  <w:style w:type="character" w:styleId="afa">
    <w:name w:val="FollowedHyperlink"/>
    <w:rsid w:val="009167B1"/>
    <w:rPr>
      <w:color w:val="800080"/>
      <w:u w:val="single"/>
    </w:rPr>
  </w:style>
  <w:style w:type="character" w:customStyle="1" w:styleId="HTML">
    <w:name w:val="Стандартный HTML Знак"/>
    <w:qFormat/>
    <w:rsid w:val="009167B1"/>
    <w:rPr>
      <w:rFonts w:ascii="Courier New" w:hAnsi="Courier New" w:cs="Courier New"/>
    </w:rPr>
  </w:style>
  <w:style w:type="character" w:customStyle="1" w:styleId="afb">
    <w:name w:val="Текст Знак"/>
    <w:qFormat/>
    <w:rsid w:val="009167B1"/>
    <w:rPr>
      <w:rFonts w:ascii="Courier New" w:hAnsi="Courier New" w:cs="Courier New"/>
    </w:rPr>
  </w:style>
  <w:style w:type="character" w:customStyle="1" w:styleId="afc">
    <w:name w:val="Абзац списка Знак"/>
    <w:qFormat/>
    <w:rsid w:val="009167B1"/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qFormat/>
    <w:rsid w:val="009167B1"/>
    <w:rPr>
      <w:rFonts w:ascii="Arial" w:hAnsi="Arial" w:cs="Arial"/>
      <w:lang w:val="ru-RU" w:bidi="ar-SA"/>
    </w:rPr>
  </w:style>
  <w:style w:type="character" w:customStyle="1" w:styleId="32">
    <w:name w:val="Основной текст (3)_"/>
    <w:basedOn w:val="a0"/>
    <w:qFormat/>
    <w:rsid w:val="009167B1"/>
    <w:rPr>
      <w:b/>
      <w:bCs/>
      <w:sz w:val="18"/>
      <w:szCs w:val="18"/>
      <w:shd w:val="clear" w:color="auto" w:fill="FFFFFF"/>
    </w:rPr>
  </w:style>
  <w:style w:type="character" w:customStyle="1" w:styleId="FootnoteCharacters">
    <w:name w:val="Footnote Characters"/>
    <w:basedOn w:val="a0"/>
    <w:qFormat/>
    <w:rsid w:val="009167B1"/>
    <w:rPr>
      <w:vertAlign w:val="superscript"/>
    </w:rPr>
  </w:style>
  <w:style w:type="paragraph" w:customStyle="1" w:styleId="Heading">
    <w:name w:val="Heading"/>
    <w:basedOn w:val="a"/>
    <w:next w:val="afd"/>
    <w:qFormat/>
    <w:rsid w:val="009167B1"/>
    <w:pPr>
      <w:ind w:firstLine="720"/>
      <w:jc w:val="center"/>
    </w:pPr>
    <w:rPr>
      <w:b/>
      <w:sz w:val="32"/>
    </w:rPr>
  </w:style>
  <w:style w:type="paragraph" w:styleId="afd">
    <w:name w:val="Body Text"/>
    <w:basedOn w:val="a"/>
    <w:rsid w:val="009167B1"/>
    <w:rPr>
      <w:sz w:val="28"/>
    </w:rPr>
  </w:style>
  <w:style w:type="paragraph" w:styleId="afe">
    <w:name w:val="List"/>
    <w:basedOn w:val="afd"/>
    <w:rsid w:val="009167B1"/>
  </w:style>
  <w:style w:type="paragraph" w:customStyle="1" w:styleId="Caption">
    <w:name w:val="Caption"/>
    <w:basedOn w:val="a"/>
    <w:qFormat/>
    <w:rsid w:val="009167B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167B1"/>
    <w:pPr>
      <w:suppressLineNumbers/>
    </w:pPr>
  </w:style>
  <w:style w:type="paragraph" w:styleId="aff">
    <w:name w:val="Body Text Indent"/>
    <w:basedOn w:val="a"/>
    <w:rsid w:val="009167B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9167B1"/>
    <w:pPr>
      <w:jc w:val="center"/>
    </w:pPr>
    <w:rPr>
      <w:sz w:val="28"/>
    </w:rPr>
  </w:style>
  <w:style w:type="paragraph" w:customStyle="1" w:styleId="HeaderandFooter">
    <w:name w:val="Header and Footer"/>
    <w:basedOn w:val="a"/>
    <w:qFormat/>
    <w:rsid w:val="009167B1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link w:val="CaptionChar"/>
    <w:rsid w:val="009167B1"/>
    <w:pPr>
      <w:tabs>
        <w:tab w:val="center" w:pos="4153"/>
        <w:tab w:val="right" w:pos="8306"/>
      </w:tabs>
    </w:pPr>
  </w:style>
  <w:style w:type="paragraph" w:customStyle="1" w:styleId="Header">
    <w:name w:val="Header"/>
    <w:basedOn w:val="a"/>
    <w:link w:val="HeaderChar"/>
    <w:rsid w:val="009167B1"/>
    <w:pPr>
      <w:tabs>
        <w:tab w:val="center" w:pos="4153"/>
        <w:tab w:val="right" w:pos="8306"/>
      </w:tabs>
    </w:pPr>
  </w:style>
  <w:style w:type="paragraph" w:styleId="ab">
    <w:name w:val="footnote text"/>
    <w:basedOn w:val="a"/>
    <w:link w:val="10"/>
    <w:rsid w:val="009167B1"/>
    <w:pPr>
      <w:ind w:firstLine="340"/>
      <w:jc w:val="both"/>
    </w:pPr>
    <w:rPr>
      <w:sz w:val="24"/>
    </w:rPr>
  </w:style>
  <w:style w:type="paragraph" w:styleId="2">
    <w:name w:val="List Bullet 2"/>
    <w:basedOn w:val="a"/>
    <w:qFormat/>
    <w:rsid w:val="009167B1"/>
    <w:pPr>
      <w:numPr>
        <w:numId w:val="2"/>
      </w:numPr>
      <w:ind w:left="283" w:hanging="283"/>
      <w:jc w:val="both"/>
    </w:pPr>
    <w:rPr>
      <w:color w:val="000000"/>
      <w:sz w:val="28"/>
      <w:szCs w:val="28"/>
    </w:rPr>
  </w:style>
  <w:style w:type="paragraph" w:styleId="25">
    <w:name w:val="Body Text 2"/>
    <w:basedOn w:val="a"/>
    <w:qFormat/>
    <w:rsid w:val="009167B1"/>
    <w:pPr>
      <w:spacing w:after="120" w:line="480" w:lineRule="auto"/>
    </w:pPr>
  </w:style>
  <w:style w:type="paragraph" w:styleId="33">
    <w:name w:val="Body Text 3"/>
    <w:basedOn w:val="a"/>
    <w:qFormat/>
    <w:rsid w:val="009167B1"/>
    <w:pPr>
      <w:spacing w:after="120"/>
    </w:pPr>
    <w:rPr>
      <w:sz w:val="16"/>
      <w:szCs w:val="16"/>
    </w:rPr>
  </w:style>
  <w:style w:type="paragraph" w:styleId="26">
    <w:name w:val="Body Text Indent 2"/>
    <w:basedOn w:val="a"/>
    <w:qFormat/>
    <w:rsid w:val="009167B1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34">
    <w:name w:val="Body Text Indent 3"/>
    <w:basedOn w:val="a"/>
    <w:qFormat/>
    <w:rsid w:val="009167B1"/>
    <w:pPr>
      <w:spacing w:after="120"/>
      <w:ind w:left="283"/>
    </w:pPr>
    <w:rPr>
      <w:sz w:val="16"/>
      <w:szCs w:val="16"/>
    </w:rPr>
  </w:style>
  <w:style w:type="paragraph" w:styleId="aff0">
    <w:name w:val="Balloon Text"/>
    <w:basedOn w:val="a"/>
    <w:qFormat/>
    <w:rsid w:val="009167B1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rsid w:val="00916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val="en-US"/>
    </w:rPr>
  </w:style>
  <w:style w:type="paragraph" w:styleId="aff1">
    <w:name w:val="Normal (Web)"/>
    <w:basedOn w:val="a"/>
    <w:qFormat/>
    <w:rsid w:val="009167B1"/>
    <w:rPr>
      <w:color w:val="000000"/>
      <w:sz w:val="24"/>
      <w:szCs w:val="24"/>
    </w:rPr>
  </w:style>
  <w:style w:type="paragraph" w:styleId="aff2">
    <w:name w:val="Plain Text"/>
    <w:basedOn w:val="a"/>
    <w:qFormat/>
    <w:rsid w:val="009167B1"/>
    <w:rPr>
      <w:rFonts w:ascii="Courier New" w:hAnsi="Courier New" w:cs="Courier New"/>
      <w:lang w:val="en-US"/>
    </w:rPr>
  </w:style>
  <w:style w:type="paragraph" w:customStyle="1" w:styleId="aff3">
    <w:name w:val="Знак Знак Знак Знак"/>
    <w:basedOn w:val="a"/>
    <w:qFormat/>
    <w:rsid w:val="009167B1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f4">
    <w:name w:val="ком"/>
    <w:basedOn w:val="a"/>
    <w:qFormat/>
    <w:rsid w:val="009167B1"/>
    <w:pPr>
      <w:spacing w:before="80" w:after="80"/>
      <w:jc w:val="center"/>
    </w:pPr>
  </w:style>
  <w:style w:type="paragraph" w:customStyle="1" w:styleId="aff5">
    <w:name w:val="Таблицы (моноширинный)"/>
    <w:basedOn w:val="a"/>
    <w:next w:val="a"/>
    <w:qFormat/>
    <w:rsid w:val="009167B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qFormat/>
    <w:rsid w:val="009167B1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tentheader2cols">
    <w:name w:val="contentheader2cols"/>
    <w:basedOn w:val="a"/>
    <w:qFormat/>
    <w:rsid w:val="009167B1"/>
    <w:pPr>
      <w:spacing w:before="51"/>
      <w:ind w:left="257"/>
    </w:pPr>
    <w:rPr>
      <w:rFonts w:eastAsia="Arial Unicode MS"/>
      <w:b/>
      <w:bCs/>
      <w:color w:val="3560A7"/>
      <w:sz w:val="22"/>
      <w:szCs w:val="22"/>
    </w:rPr>
  </w:style>
  <w:style w:type="paragraph" w:customStyle="1" w:styleId="ConsPlusNormal0">
    <w:name w:val="ConsPlusNormal"/>
    <w:qFormat/>
    <w:rsid w:val="009167B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rsid w:val="009167B1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postan0">
    <w:name w:val="postan"/>
    <w:basedOn w:val="a"/>
    <w:qFormat/>
    <w:rsid w:val="009167B1"/>
    <w:pPr>
      <w:spacing w:before="94" w:after="94"/>
    </w:pPr>
    <w:rPr>
      <w:rFonts w:ascii="Arial" w:hAnsi="Arial" w:cs="Arial"/>
      <w:color w:val="000000"/>
    </w:rPr>
  </w:style>
  <w:style w:type="paragraph" w:customStyle="1" w:styleId="ConsPlusNonformat">
    <w:name w:val="ConsPlusNonformat"/>
    <w:qFormat/>
    <w:rsid w:val="009167B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Web">
    <w:name w:val="Обычный (Web)"/>
    <w:basedOn w:val="a"/>
    <w:qFormat/>
    <w:rsid w:val="009167B1"/>
    <w:pPr>
      <w:widowControl w:val="0"/>
    </w:pPr>
    <w:rPr>
      <w:sz w:val="24"/>
      <w:szCs w:val="24"/>
    </w:rPr>
  </w:style>
  <w:style w:type="paragraph" w:customStyle="1" w:styleId="aff6">
    <w:name w:val="Отчетный"/>
    <w:basedOn w:val="a"/>
    <w:qFormat/>
    <w:rsid w:val="009167B1"/>
    <w:pPr>
      <w:spacing w:after="120" w:line="360" w:lineRule="auto"/>
      <w:ind w:firstLine="720"/>
      <w:jc w:val="both"/>
    </w:pPr>
    <w:rPr>
      <w:sz w:val="26"/>
    </w:rPr>
  </w:style>
  <w:style w:type="paragraph" w:customStyle="1" w:styleId="p2">
    <w:name w:val="p2"/>
    <w:basedOn w:val="a"/>
    <w:qFormat/>
    <w:rsid w:val="009167B1"/>
    <w:pPr>
      <w:ind w:firstLine="600"/>
      <w:jc w:val="both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9167B1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310">
    <w:name w:val="Основной текст (3)1"/>
    <w:basedOn w:val="a"/>
    <w:qFormat/>
    <w:rsid w:val="009167B1"/>
    <w:pPr>
      <w:shd w:val="clear" w:color="auto" w:fill="FFFFFF"/>
      <w:spacing w:before="120" w:line="216" w:lineRule="exact"/>
      <w:ind w:hanging="260"/>
      <w:jc w:val="center"/>
    </w:pPr>
    <w:rPr>
      <w:b/>
      <w:bCs/>
      <w:sz w:val="18"/>
      <w:szCs w:val="18"/>
    </w:rPr>
  </w:style>
  <w:style w:type="paragraph" w:customStyle="1" w:styleId="aff7">
    <w:name w:val="Прижатый влево"/>
    <w:basedOn w:val="a"/>
    <w:next w:val="a"/>
    <w:qFormat/>
    <w:rsid w:val="009167B1"/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a"/>
    <w:qFormat/>
    <w:rsid w:val="009167B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167B1"/>
    <w:pPr>
      <w:jc w:val="center"/>
    </w:pPr>
    <w:rPr>
      <w:b/>
      <w:bCs/>
    </w:rPr>
  </w:style>
  <w:style w:type="numbering" w:customStyle="1" w:styleId="WW8Num1">
    <w:name w:val="WW8Num1"/>
    <w:qFormat/>
    <w:rsid w:val="009167B1"/>
  </w:style>
  <w:style w:type="numbering" w:customStyle="1" w:styleId="WW8Num2">
    <w:name w:val="WW8Num2"/>
    <w:qFormat/>
    <w:rsid w:val="009167B1"/>
  </w:style>
  <w:style w:type="numbering" w:customStyle="1" w:styleId="WW8Num3">
    <w:name w:val="WW8Num3"/>
    <w:qFormat/>
    <w:rsid w:val="009167B1"/>
  </w:style>
  <w:style w:type="numbering" w:customStyle="1" w:styleId="WW8Num4">
    <w:name w:val="WW8Num4"/>
    <w:qFormat/>
    <w:rsid w:val="009167B1"/>
  </w:style>
  <w:style w:type="numbering" w:customStyle="1" w:styleId="WW8Num5">
    <w:name w:val="WW8Num5"/>
    <w:qFormat/>
    <w:rsid w:val="00916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3392</Words>
  <Characters>19341</Characters>
  <Application>Microsoft Office Word</Application>
  <DocSecurity>0</DocSecurity>
  <Lines>161</Lines>
  <Paragraphs>45</Paragraphs>
  <ScaleCrop>false</ScaleCrop>
  <Company/>
  <LinksUpToDate>false</LinksUpToDate>
  <CharactersWithSpaces>22688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МОДЕЛЬНАЯ МУНИЦИПАЛЬНАЯ ПРОГРАММА РАЗВИТИЯ МУНИЦИПАЛЬНОЙ СЛУЖБЫ ДЛЯ ГОРОДСКОГО ОКРУГА (МУНИЦИПАЛЬНОГО РАЙОНА)</dc:title>
  <dc:subject/>
  <dc:creator>User</dc:creator>
  <cp:keywords/>
  <dc:description/>
  <cp:lastModifiedBy>Старова Н.В.</cp:lastModifiedBy>
  <cp:revision>46</cp:revision>
  <dcterms:created xsi:type="dcterms:W3CDTF">2020-12-17T08:30:00Z</dcterms:created>
  <dcterms:modified xsi:type="dcterms:W3CDTF">2025-10-07T10:25:00Z</dcterms:modified>
  <dc:language>en-US</dc:language>
</cp:coreProperties>
</file>